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7 February 2026 – 13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$14.03 across 30 purchases. Total ad spend for the period was $420.91 with an average CTR of 2.70%. The top performer achieved a CPP of $0.60 ((15-12-2025) - (4)).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$420.91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2.70%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$1,692.61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$11.92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3.61%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$3,938.95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$11.62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4.35%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$8.30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3.63%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$11.68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$7.32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...051358971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$8.87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7.54%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...141920571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...141865771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...717929371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$6.44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2.91%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$18.68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12-202 Release: </w:t>
      </w:r>
      <w:r>
        <w:rPr>
          <w:color w:val="475569"/>
          <w:sz w:val="22"/>
          <w:szCs w:val="22"/>
        </w:rPr>
        <w:t xml:space="preserve">4 conversions from 1 ad(s) – Best cost: $0.60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11-202 Release: </w:t>
      </w:r>
      <w:r>
        <w:rPr>
          <w:color w:val="475569"/>
          <w:sz w:val="22"/>
          <w:szCs w:val="22"/>
        </w:rPr>
        <w:t xml:space="preserve">20 conversions from 2 ad(s) – Best cost: $6.44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(15-12-2025) - (4) – 4 conversions at $0.60 cost, 0.00%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(10-11-2025) - (2) - Copy – 12 conversions at $6.44 cost, 2.91%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conversion rate with 30 purchases achieved in just 7 days, indicating effective targeting and messaging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Efficient cost per purchase at $14.03, demonstrating good return on ad spend for e-commerce in the medical supplies category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CTR of 2.70% showing above-average ad relevance and creative engagement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set (10-11-2025) - (2) performing exceptionally well with 12 purchases at efficient $6.44 CPP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ad sets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Some ad sets showing very low CTR (0.00%) indicate potential creative or audience fatigue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Higher cost per purchase in ad set (23-11-2025) at $18.68 suggests need for efficiency improvements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Total impression count could be increased to capture more market share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successful (10-11-2025) - (2) ad set and replicate its targeting and creative elements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refresh creative for the 0.00% CTR ad set to improve engagement metrics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new ad variations using the winning copy from the $6.44 CPP campaign to scale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audience overlap between top-performing ad sets to identify most valuable customer segments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