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9 February 2026 – 15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$12.41 across 33 purchases. Total ad spend for the period was $409.69 with an average CTR of 2.64%. The top performer achieved a CPP of $0.03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$409.69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$12.41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$1,709.87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$4,049.02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4.32%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$12.17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$8.94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$41.49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...717929371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$7.72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$28.01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12-202 Release: </w:t>
      </w:r>
      <w:r>
        <w:rPr>
          <w:color w:val="475569"/>
          <w:sz w:val="22"/>
          <w:szCs w:val="22"/>
        </w:rPr>
        <w:t xml:space="preserve">24 conversions from 2 ad(s) – Best cost: $0.03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18 conversions from 2 ad(s) – Best cost: $7.72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20 conversions at $0.03 cost, 14.29%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(15-12-2025) - (4) – 4 conversions at $0.52 cost, 1.43%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volume with 33 conversions at an efficient $12.41 cost per purchase, indicating effective targeting and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performance from the December 22nd ad set achieving 20 purchases at just $0.03 each, demonstrating highly optimised audience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2.64% across campaigns, showing compelling ad creative and audience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Good scale with over 31,000 impressions while maintaining conversion efficiency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ad sets (from $0.03 to $7.72 cost per purchase)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CTR in some ad sets (1.43%) indicates potential for creative improvement and audience refinement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given the strong performance of top-performing ad set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Uneven purchase distribution across ad sets suggests opportunity to replicate success factors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the targeting and creative elements of the December 22nd ad set to replicate its success across other campaigns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underperforming ad sets (&gt;$5 CPA) to the top-performing ad sets to maximise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the 14.29% CTR creative to improve overall campaign engagement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audience overlap analysis to ensure budget isn't being wasted on competing ad sets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