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16 February 2026 – 22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$10.57 across 42 purchases. Total ad spend for the period was $443.97 with an average CTR of 3.06%. The top performer achieved a CPP of $0.24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$443.97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$10.57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3.06%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$1,803.34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3.30%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$4,493.02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4.19%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3.01%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...620609971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...620653771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...620573371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...621951971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3.01%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...620609971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$0.28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$0.24 cost, 2.31%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(1) – 6 conversions at $0.28 cost, 1.03%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36 purchases, $4.24 CPP, 2.43%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26 purchases, $6.45 CPP, 3.12%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8 purchases, $1.04 CPP, 3.94%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purchase volume with 42 conversions in 7 days, indicating effective targeting and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Excellent cost per purchase at $10.57, well below industry average for medical devices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CTR of 3.06% shows ad creative is resonating with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from 22-12-2025 delivered exceptional efficiency with 22 purchases at just $0.24 cost per result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lower performing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differences between ad sets (2.31% vs 1.03%) indicate potential to improve creative in lower-performing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given the strong cost per purchase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Impression to purchase ratio could be improved through enhanced targeting refinement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ad set (22-12-2025) while maintaining efficient CPAs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highest CTR ad sets and apply insights to refresh lower-performing 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purchaser data from the top-performing ad set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A/B testing on ad copy and visuals to improve CTR in lower-performing sets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