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17 February 2026 – 23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$10.30 across 44 purchases. Total ad spend for the period was $453.41 with an average CTR of 2.97%. The top performer achieved a CPP of $0.24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$453.41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$10.30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2.97%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$1,821.60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3.24%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$4,566.36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4.17%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...620653771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...620609971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...620573371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$1.64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...621951571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...621951971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...620653771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$0.28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4 conversions from 1 ad(s) – Best cost: $0.72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$0.24 cost, 2.31%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(1) – 6 conversions at $0.28 cost, 1.02%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32 purchases, $4.93 CPP, 2.45%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26 purchases, $6.54 CPP, 3.02%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12 purchases, $6.16 CPP, 3.32%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volume with 44 conversions at an efficient $10.30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2.97%, indicating compelling ad creative and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from 22-12-2025 performing exceptionally well with 22 purchases at a very low $0.24 cost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ad set ($0.24 CPA) and others ($0.28-$0.52 CPA) suggests room for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CTR (1.02%) in the second-best performing ad set indicates potential creative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given the strong conversion metrics across multiple ad sets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and audience targeting from the top-performing 22-12-2025 ad set to replicate success across other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fresh ad variations based on the best-performing creative to combat potential ad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Gradually increase budget allocation to the top-performing ad set while maintaining efficiency metrics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