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23 February 2026 – 1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solid results with a blended CPP of $15.14 across 32 purchases. Total ad spend for the period was $484.59 with an average CTR of 2.56%. The top performer achieved a CPP of $0.20 ((10-02-2026) - (2)).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$484.59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$15.14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2.56%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$1,875.01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2.91%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$4,977.63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4.04%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$33.68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...749565771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$1.05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$25.00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...749607571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$19.33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...749568771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...749584571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$16.11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...749525971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2.56%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$0.20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$0.53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$0.20 cost, 2.27%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26 purchases, $7.06 CPP, 2.46%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20 purchases, $8.65 CPP, 2.17%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18 purchases, $4.14 CPP, 3.25%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conversion rate with 32 purchases achieved at an efficient cost per purchase of $15.14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CTR of 2.56% indicates compelling ad creative and targeting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Ad set (22-12-2025) - (5) performing exceptionally well with 22 purchases at a low cost of $0.25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Multiple ad sets showing consistent performance with purchase activity, suggesting good campaign structure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variation in cost per purchase between top performers ($0.20 vs $0.43) indicates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 sets showing lower CTR (1.45%) could benefit from creative refreshes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potential exists given the strong performance of top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Impression to purchase ratio suggests opportunity to improve targeting efficiency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best-performing ad set (22-12-2025) - (5) to maximise ROI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based on the creative elements of the 2.27% CTR performer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audience analysis of top-performing ad sets to identify common characteristics for scaling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Test increasing daily budget by 20% on ads with CPP below $0.30 to capture more conversions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