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March 2026 – 4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$18.90 across 13 purchases. Total ad spend for the period was $245.76 with an average CTR of 2.77%. The top performer achieved a CPP of $0.20 ((10-02-2026) - (2)).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$245.76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$18.90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$1,875.21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$5,157.54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3.99%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...736857971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$3.73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$27.63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5.93%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...749584571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$3.13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$27.95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1.79%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...749577771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$20.67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...749607571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$14.48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...749525771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$0.20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$0.20 cost, 2.17%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8 purchases, $11.71 CPP, 2.96%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8 purchases, $5.37 CPP, 3.40%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4 purchases, $1.00 CPP, 6.38%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2.77%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at $18.90 shows efficient conversion rate for e-commerce in the medical device category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sets demonstrate potential for scaling, particularly the set achieving 4 purchases at just $0.20 cost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daily purchase volume suggests stable audience demand and reliable conversion path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variation in cost per purchase between top performers ($0.20 vs $0.53)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difference between top performers (2.17% vs 1.27%) suggests opportunity to analyse and replicate successful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could be increased to capture more market share while maintaining current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Purchase volume varies notably between ad sets, indicating potential for audience refinement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best-performing ad set (10-02-2026 - 2) with $0.20 cost per purchase to maximise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and audience targeting from highest CTR ad sets to create new variations for testing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automated rules to adjust budgets based on cost per purchase thresholds of $0.20-$0.25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recent purchasers to expand reach while maintaining conversion quality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