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left"/>
      </w:pPr>
      <w:r>
        <w:drawing>
          <wp:inline distT="0" distB="0" distL="0" distR="0">
            <wp:extent cx="1333500" cy="247650"/>
            <wp:effectExtent t="0" r="0" b="0" l="0"/>
            <wp:docPr id="1" name="feisty-logo" descr="Feisty Agency Logo" title="Feisty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before="300" w:after="200"/>
      </w:pPr>
      <w:r>
        <w:rPr>
          <w:b/>
          <w:bCs/>
          <w:color w:val="1E293B"/>
          <w:sz w:val="44"/>
          <w:szCs w:val="44"/>
        </w:rPr>
        <w:t xml:space="preserve">Meta Ads Performance Audit</w:t>
      </w:r>
    </w:p>
    <w:p>
      <w:pPr>
        <w:spacing w:after="120"/>
      </w:pPr>
      <w:r>
        <w:rPr>
          <w:b/>
          <w:bCs/>
          <w:color w:val="475569"/>
          <w:sz w:val="22"/>
          <w:szCs w:val="22"/>
        </w:rPr>
        <w:t xml:space="preserve">Client: </w:t>
      </w:r>
      <w:r>
        <w:rPr>
          <w:color w:val="1E293B"/>
          <w:sz w:val="22"/>
          <w:szCs w:val="22"/>
        </w:rPr>
        <w:t xml:space="preserve">NeedleFree (Comfort-In)</w:t>
      </w:r>
    </w:p>
    <w:p>
      <w:pPr>
        <w:spacing w:after="120"/>
      </w:pPr>
      <w:r>
        <w:rPr>
          <w:b/>
          <w:bCs/>
          <w:color w:val="475569"/>
          <w:sz w:val="22"/>
          <w:szCs w:val="22"/>
        </w:rPr>
        <w:t xml:space="preserve">Campaign: </w:t>
      </w:r>
      <w:r>
        <w:rPr>
          <w:color w:val="1E293B"/>
          <w:sz w:val="22"/>
          <w:szCs w:val="22"/>
        </w:rPr>
        <w:t xml:space="preserve">PA - Sales - LP - All - CBO - 17.1</w:t>
      </w:r>
    </w:p>
    <w:p>
      <w:pPr>
        <w:spacing w:after="300"/>
      </w:pPr>
      <w:r>
        <w:rPr>
          <w:b/>
          <w:bCs/>
          <w:color w:val="475569"/>
          <w:sz w:val="22"/>
          <w:szCs w:val="22"/>
        </w:rPr>
        <w:t xml:space="preserve">Period: </w:t>
      </w:r>
      <w:r>
        <w:rPr>
          <w:color w:val="1E293B"/>
          <w:sz w:val="22"/>
          <w:szCs w:val="22"/>
        </w:rPr>
        <w:t xml:space="preserve">2 March 2026 – 8 March 2026</w:t>
      </w: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Executive Summary</w:t>
      </w:r>
    </w:p>
    <w:p>
      <w:pPr>
        <w:spacing w:after="300"/>
      </w:pPr>
      <w:r>
        <w:rPr>
          <w:color w:val="475569"/>
          <w:sz w:val="22"/>
          <w:szCs w:val="22"/>
        </w:rPr>
        <w:t xml:space="preserve">The NeedleFree (Comfort-In) campaign is delivering solid results with a blended CPP of $19.02 across 26 purchases. Total ad spend for the period was $494.63 with an average CTR of 2.47%. The top performer achieved a CPP of $0.25 ((22-12-2025) - (5)). CTR is within healthy range for e-commerce campaigns.</w:t>
      </w: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Key Metrics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2200"/>
        <w:gridCol w:w="1800"/>
        <w:gridCol w:w="1600"/>
        <w:gridCol w:w="1600"/>
        <w:gridCol w:w="1600"/>
      </w:tblGrid>
      <w:tr>
        <w:tc>
          <w:tcPr>
            <w:tcW w:type="dxa" w:w="22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Period</w:t>
            </w:r>
          </w:p>
        </w:tc>
        <w:tc>
          <w:tcPr>
            <w:tcW w:type="dxa" w:w="18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Spend</w:t>
            </w:r>
          </w:p>
        </w:tc>
        <w:tc>
          <w:tcPr>
            <w:tcW w:type="dxa" w:w="16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Purchases</w:t>
            </w:r>
          </w:p>
        </w:tc>
        <w:tc>
          <w:tcPr>
            <w:tcW w:type="dxa" w:w="16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CPP</w:t>
            </w:r>
          </w:p>
        </w:tc>
        <w:tc>
          <w:tcPr>
            <w:tcW w:type="dxa" w:w="16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CTR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This Week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$494.63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26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$19.02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2.47%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This Month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$1,954.32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141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$13.86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2.71%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Since Starting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$5,472.36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450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$12.16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3.89%</w:t>
            </w:r>
          </w:p>
        </w:tc>
      </w:tr>
    </w:tbl>
    <w:p>
      <w:pPr>
        <w:spacing w:after="3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Latest Batch — Top Metrics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500"/>
        <w:gridCol w:w="1300"/>
        <w:gridCol w:w="1400"/>
        <w:gridCol w:w="1400"/>
        <w:gridCol w:w="1400"/>
        <w:gridCol w:w="2360"/>
        <w:gridCol w:w="800"/>
      </w:tblGrid>
      <w:tr>
        <w:tc>
          <w:tcPr>
            <w:tcW w:type="dxa" w:w="5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3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Release Lot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Spend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CPM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CTR</w:t>
            </w:r>
          </w:p>
        </w:tc>
        <w:tc>
          <w:tcPr>
            <w:tcW w:type="dxa" w:w="236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 ID</w:t>
            </w:r>
          </w:p>
        </w:tc>
        <w:tc>
          <w:tcPr>
            <w:tcW w:type="dxa" w:w="8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Preview</w:t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🔥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Feb-28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$14.67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$16.03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2.73%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...736857971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Feb-28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$6.30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$24.14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4.60%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...749584571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⭐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Feb-28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$5.38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$24.79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1.38%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...749577771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Feb-28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$1.90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$20.21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2.13%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...749607571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Feb-28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$1.71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$15.55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0.91%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...749525771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3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Top 5 Performers by CPP — All Time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500"/>
        <w:gridCol w:w="1300"/>
        <w:gridCol w:w="1400"/>
        <w:gridCol w:w="1400"/>
        <w:gridCol w:w="1400"/>
        <w:gridCol w:w="2360"/>
        <w:gridCol w:w="800"/>
      </w:tblGrid>
      <w:tr>
        <w:tc>
          <w:tcPr>
            <w:tcW w:type="dxa" w:w="5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3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Release Lot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CPP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Purchases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CTR</w:t>
            </w:r>
          </w:p>
        </w:tc>
        <w:tc>
          <w:tcPr>
            <w:tcW w:type="dxa" w:w="236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 ID</w:t>
            </w:r>
          </w:p>
        </w:tc>
        <w:tc>
          <w:tcPr>
            <w:tcW w:type="dxa" w:w="8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Preview</w:t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🔥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Dec-22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$0.25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2.45%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...434619171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Feb-10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$0.25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1.67%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...790733571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⭐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Jan-7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$0.56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2.40%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...925871771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Feb-10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$0.57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6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1.19%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...790733771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Jan-20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$0.58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0.71%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...245221971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00" w:after="300"/>
      </w:pPr>
      <w:r>
        <w:rPr>
          <w:i/>
          <w:iCs/>
          <w:color w:val="475569"/>
          <w:sz w:val="18"/>
          <w:szCs w:val="18"/>
        </w:rPr>
        <w:t xml:space="preserve">🔥 = Top performer | ⭐ = Volume star | Sorted by cost per conversion (lowest first)</w:t>
      </w: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Release Lot Performance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Dec-22 Release: </w:t>
      </w:r>
      <w:r>
        <w:rPr>
          <w:color w:val="475569"/>
          <w:sz w:val="22"/>
          <w:szCs w:val="22"/>
        </w:rPr>
        <w:t xml:space="preserve">22 conversions from 1 ad(s) – Best cost: $0.25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Feb-10 Release: </w:t>
      </w:r>
      <w:r>
        <w:rPr>
          <w:color w:val="475569"/>
          <w:sz w:val="22"/>
          <w:szCs w:val="22"/>
        </w:rPr>
        <w:t xml:space="preserve">10 conversions from 2 ad(s) – Best cost: $0.25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Jan-07 Release: </w:t>
      </w:r>
      <w:r>
        <w:rPr>
          <w:color w:val="475569"/>
          <w:sz w:val="22"/>
          <w:szCs w:val="22"/>
        </w:rPr>
        <w:t xml:space="preserve">4 conversions from 1 ad(s) – Best cost: $0.56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Jan-20 Release: </w:t>
      </w:r>
      <w:r>
        <w:rPr>
          <w:color w:val="475569"/>
          <w:sz w:val="22"/>
          <w:szCs w:val="22"/>
        </w:rPr>
        <w:t xml:space="preserve">4 conversions from 1 ad(s) – Best cost: $0.58</w:t>
      </w:r>
    </w:p>
    <w:p>
      <w:pPr>
        <w:spacing w:after="2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Creative Insights</w:t>
      </w:r>
    </w:p>
    <w:p>
      <w:pPr>
        <w:spacing w:after="40"/>
      </w:pPr>
      <w:r>
        <w:rPr>
          <w:b/>
          <w:bCs/>
          <w:color w:val="1E293B"/>
          <w:sz w:val="22"/>
          <w:szCs w:val="22"/>
        </w:rPr>
        <w:t xml:space="preserve">Top Performer:</w:t>
      </w:r>
    </w:p>
    <w:p>
      <w:pPr>
        <w:spacing w:after="120"/>
      </w:pPr>
      <w:r>
        <w:rPr>
          <w:color w:val="475569"/>
          <w:sz w:val="22"/>
          <w:szCs w:val="22"/>
        </w:rPr>
        <w:t xml:space="preserve">(22-12-2025) - (5) – 22 conversions at $0.25 cost, 2.45% CTR</w:t>
      </w:r>
    </w:p>
    <w:p>
      <w:pPr>
        <w:spacing w:after="40"/>
      </w:pPr>
      <w:r>
        <w:rPr>
          <w:b/>
          <w:bCs/>
          <w:color w:val="1E293B"/>
          <w:sz w:val="22"/>
          <w:szCs w:val="22"/>
        </w:rPr>
        <w:t xml:space="preserve">Runner Up:</w:t>
      </w:r>
    </w:p>
    <w:p>
      <w:pPr>
        <w:spacing w:after="120"/>
      </w:pPr>
      <w:r>
        <w:rPr>
          <w:color w:val="475569"/>
          <w:sz w:val="22"/>
          <w:szCs w:val="22"/>
        </w:rPr>
        <w:t xml:space="preserve">(10-02-2026) - (2) – 4 conversions at $0.25 cost, 1.67% CTR</w:t>
      </w:r>
    </w:p>
    <w:p>
      <w:pPr>
        <w:spacing w:after="2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Demographic Sweet Spot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Male 35-44: </w:t>
      </w:r>
      <w:r>
        <w:rPr>
          <w:color w:val="475569"/>
          <w:sz w:val="22"/>
          <w:szCs w:val="22"/>
        </w:rPr>
        <w:t xml:space="preserve">22 purchases, $8.79 CPP, 2.56% CTR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Male 45-54: </w:t>
      </w:r>
      <w:r>
        <w:rPr>
          <w:color w:val="475569"/>
          <w:sz w:val="22"/>
          <w:szCs w:val="22"/>
        </w:rPr>
        <w:t xml:space="preserve">10 purchases, $8.41 CPP, 3.20% CTR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Female 25-34: </w:t>
      </w:r>
      <w:r>
        <w:rPr>
          <w:color w:val="475569"/>
          <w:sz w:val="22"/>
          <w:szCs w:val="22"/>
        </w:rPr>
        <w:t xml:space="preserve">6 purchases, $1.29 CPP, 3.76% CTR</w:t>
      </w:r>
    </w:p>
    <w:p>
      <w:pPr>
        <w:spacing w:after="2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Key Insights</w:t>
      </w:r>
    </w:p>
    <w:p>
      <w:pPr>
        <w:spacing w:after="80"/>
      </w:pPr>
      <w:r>
        <w:rPr>
          <w:b/>
          <w:bCs/>
          <w:color w:val="10B981"/>
          <w:sz w:val="24"/>
          <w:szCs w:val="24"/>
        </w:rPr>
        <w:t xml:space="preserve">What's Working: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✓ Strong overall purchase volume with 26 conversions at an efficient $19.02 cost per purchase, indicating effective targeting and ad relevance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✓ Healthy CTR of 2.47% showing above-average ad engagement and compelling creative performance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✓ Ad set (22-12-2025) - (5) demonstrating exceptional efficiency with 22 purchases at just $0.25 cost per result</w:t>
      </w:r>
    </w:p>
    <w:p>
      <w:pPr>
        <w:spacing w:after="120"/>
      </w:pPr>
    </w:p>
    <w:p>
      <w:pPr>
        <w:spacing w:after="80"/>
      </w:pPr>
      <w:r>
        <w:rPr>
          <w:b/>
          <w:bCs/>
          <w:color w:val="1E293B"/>
          <w:sz w:val="24"/>
          <w:szCs w:val="24"/>
        </w:rPr>
        <w:t xml:space="preserve">Opportunities: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→ Significant performance variance between top and lower-performing ad sets suggests room for budget optimisation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→ Potential to scale successful ad sets given the strong cost per purchase metrics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→ Room to improve conversion rates from clicks to purchases (26 purchases from 942 clicks indicates potential landing page optimisation needs)</w:t>
      </w:r>
    </w:p>
    <w:p>
      <w:pPr>
        <w:spacing w:after="2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Recommended Next Steps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▸ Reallocate budget from lower-performing ad sets to the top performer (22-12-2025) - (5) to maximise ROI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▸ Create lookalike audiences based on purchasers from the best-performing ad set to expand reach while maintaining efficiency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▸ Analyse landing page metrics and implement A/B testing to improve the 2.76% click-to-purchase conversion rate</w:t>
      </w:r>
    </w:p>
    <w:p>
      <w:pPr>
        <w:spacing w:after="300"/>
      </w:pPr>
    </w:p>
    <w:p>
      <w:pPr>
        <w:jc w:val="center"/>
      </w:pPr>
      <w:r>
        <w:drawing>
          <wp:inline distT="0" distB="0" distL="0" distR="0">
            <wp:extent cx="5524500" cy="504825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504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after="300"/>
      </w:pPr>
    </w:p>
    <w:p>
      <w:pPr>
        <w:spacing w:before="300"/>
        <w:jc w:val="center"/>
      </w:pPr>
      <w:r>
        <w:rPr>
          <w:i/>
          <w:iCs/>
          <w:color w:val="475569"/>
          <w:sz w:val="22"/>
          <w:szCs w:val="22"/>
        </w:rPr>
        <w:t xml:space="preserve">Questions? Let's chat about scaling these results.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→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200"/>
      <w:outlineLvl w:val="0"/>
    </w:pPr>
    <w:rPr>
      <w:rFonts w:ascii="Arial" w:cs="Arial" w:eastAsia="Arial" w:hAnsi="Arial"/>
      <w:b/>
      <w:bCs/>
      <w:color w:val="1E293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1E293B"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0e528dc0d1622c973379fd4214fb22c686b9480d.png"/><Relationship Id="rId7" Type="http://schemas.openxmlformats.org/officeDocument/2006/relationships/fontTable" Target="fontTable.xml"/><Relationship Id="rId8" Type="http://schemas.openxmlformats.org/officeDocument/2006/relationships/image" Target="media/image_generated_1.png"/><Relationship Id="rId9" Type="http://schemas.openxmlformats.org/officeDocument/2006/relationships/image" Target="media/image_generated_2.png"/><Relationship Id="rId10" Type="http://schemas.openxmlformats.org/officeDocument/2006/relationships/image" Target="media/image_generated_3.png"/><Relationship Id="rId11" Type="http://schemas.openxmlformats.org/officeDocument/2006/relationships/image" Target="media/image_generated_4.png"/><Relationship Id="rId12" Type="http://schemas.openxmlformats.org/officeDocument/2006/relationships/image" Target="media/image_generated_5.png"/><Relationship Id="rId13" Type="http://schemas.openxmlformats.org/officeDocument/2006/relationships/image" Target="media/image_generated_6.png"/><Relationship Id="rId14" Type="http://schemas.openxmlformats.org/officeDocument/2006/relationships/image" Target="media/image_generated_7.png"/><Relationship Id="rId15" Type="http://schemas.openxmlformats.org/officeDocument/2006/relationships/image" Target="media/image_generated_8.png"/><Relationship Id="rId16" Type="http://schemas.openxmlformats.org/officeDocument/2006/relationships/image" Target="media/image_generated_9.png"/><Relationship Id="rId17" Type="http://schemas.openxmlformats.org/officeDocument/2006/relationships/image" Target="media/image_generated_10.png"/><Relationship Id="rId18" Type="http://schemas.openxmlformats.org/officeDocument/2006/relationships/image" Target="media/image_generated_11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2026-01-30T00:08:21.820Z</dcterms:created>
  <dcterms:modified xsi:type="dcterms:W3CDTF">2026-01-30T00:08:21.821Z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