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NeedleFree (Comfort-In)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PA - Sales - LP - All - CBO - 17.1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4 March 2026 – 10 March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NeedleFree (Comfort-In) campaign is delivering results with a blended CPP of $24.05 across 20 purchases. Total ad spend for the period was $481.10 with an average CTR of 2.40%. The top performer achieved a CPP of $0.25 ((22-12-2025) - (5)). CTR is within healthy range for e-commerce campaigns.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$481.10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20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$24.05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2.40%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$1,966.13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135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$14.56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2.65%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$5,605.46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452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$12.40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3.85%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CPM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$19.32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$15.64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...736857971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$10.41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$21.07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3.44%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...749584571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$5.79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$21.85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1.13%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...749577771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$2.10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$16.28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...749525771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Feb-28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$1.91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$20.11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2.11%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...749607571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CPP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CPP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Dec-22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$0.25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2.45%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...434619171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$0.33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1.39%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...790733571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1.16%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...790733771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Jan-20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0.71%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...245221971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$0.59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2.24%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...925871771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Dec-22 Release: </w:t>
      </w:r>
      <w:r>
        <w:rPr>
          <w:color w:val="475569"/>
          <w:sz w:val="22"/>
          <w:szCs w:val="22"/>
        </w:rPr>
        <w:t xml:space="preserve">22 conversions from 1 ad(s) – Best cost: $0.25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Feb-10 Release: </w:t>
      </w:r>
      <w:r>
        <w:rPr>
          <w:color w:val="475569"/>
          <w:sz w:val="22"/>
          <w:szCs w:val="22"/>
        </w:rPr>
        <w:t xml:space="preserve">10 conversions from 2 ad(s) – Best cost: $0.33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Jan-20 Release: </w:t>
      </w:r>
      <w:r>
        <w:rPr>
          <w:color w:val="475569"/>
          <w:sz w:val="22"/>
          <w:szCs w:val="22"/>
        </w:rPr>
        <w:t xml:space="preserve">4 conversions from 1 ad(s) – Best cost: $0.58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Jan-07 Release: </w:t>
      </w:r>
      <w:r>
        <w:rPr>
          <w:color w:val="475569"/>
          <w:sz w:val="22"/>
          <w:szCs w:val="22"/>
        </w:rPr>
        <w:t xml:space="preserve">4 conversions from 1 ad(s) – Best cost: $0.59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(22-12-2025) - (5) – 22 conversions at $0.25 cost, 2.45%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(10-02-2026) - (2) – 4 conversions at $0.33 cost, 1.39%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35-44: </w:t>
      </w:r>
      <w:r>
        <w:rPr>
          <w:color w:val="475569"/>
          <w:sz w:val="22"/>
          <w:szCs w:val="22"/>
        </w:rPr>
        <w:t xml:space="preserve">18 purchases, $10.44 CPP, 2.59%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45-54: </w:t>
      </w:r>
      <w:r>
        <w:rPr>
          <w:color w:val="475569"/>
          <w:sz w:val="22"/>
          <w:szCs w:val="22"/>
        </w:rPr>
        <w:t xml:space="preserve">6 purchases, $13.01 CPP, 3.14%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Male 25-34: </w:t>
      </w:r>
      <w:r>
        <w:rPr>
          <w:color w:val="475569"/>
          <w:sz w:val="22"/>
          <w:szCs w:val="22"/>
        </w:rPr>
        <w:t xml:space="preserve">4 purchases, $36.31 CPP, 1.53%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purchase volume with 20 conversions at an efficient $24.05 cost per purchase, indicating effective targeting and messaging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Healthy click-through rate of 2.40%, well above industry average, showing strong ad creative resonance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set (22-12-2025) achieved exceptional efficiency with 22 purchases at just $0.25 cost per result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performance variance between top and lower-performing ad sets suggests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CTR drop between best performer (2.45%) and other sets (1.39%, 1.16%) indicates potential creative fatigue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Total impression count of 38,023 suggests potential to scale reach while maintaining efficiency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towards the top-performing ad set (22-12-2025), gradually increasing daily spend by 20%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3-4 new ad variations based on the creative elements of the top-performing ad set to combat fatigue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audience overlap between the three ad sets and consolidate similar audiences to improve auction efficiency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Relationship Id="rId15" Type="http://schemas.openxmlformats.org/officeDocument/2006/relationships/image" Target="media/image_generated_8.png"/><Relationship Id="rId16" Type="http://schemas.openxmlformats.org/officeDocument/2006/relationships/image" Target="media/image_generated_9.png"/><Relationship Id="rId17" Type="http://schemas.openxmlformats.org/officeDocument/2006/relationships/image" Target="media/image_generated_10.png"/><Relationship Id="rId18" Type="http://schemas.openxmlformats.org/officeDocument/2006/relationships/image" Target="media/image_generated_1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