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5 March 2026 – 11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$30.30 across 16 purchases. Total ad spend for the period was $484.85 with an average CTR of 2.30%. The top performer achieved a CPP of $0.25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$484.85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$30.30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2.30%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$1,970.86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2.59%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$5,675.63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3.82%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$0.59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2.41%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$0.33 cost, 1.39%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18 purchases, $10.31 CPP, 2.52%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8 purchases, $18.49 CPP, 1.63%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4 purchases, $19.30 CPP, 2.92%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conversion efficiency with 16 purchases at a profitable $30.30 cost per purchase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click-through rate of 2.30% indicating compelling ad creative and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(22-12-2025) performing exceptionally well with 22 purchases at just $0.25 cost per result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Good overall campaign reach with 39,630 impressions generating quality traffic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and lower-performing ad sets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drop from 2.41% to 0.71% across different ad sets indicates potential creative fatigue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variation ($0.25 to $0.59) shows opportunity to scale better-performing audiences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Click volume could be improved to generate more purchase opportunities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lower-performing ad sets to the successful (22-12-2025) set to maximise ROAS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fresh ad variations based on the creative elements from the top-performing 2.41% CTR ad set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insights from the $0.25 CPA campaign to replicate success in new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tests focusing on call-to-action variations to improve click-through rates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