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6 March 2026 – 12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$34.44 across 14 purchases. Total ad spend for the period was $482.15 with an average CTR of 2.33%. The top performer achieved a CPP of $0.25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$482.15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$34.44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2.33%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$1,979.42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$15.11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$5,741.82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$12.65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3.80%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...675711571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$18.16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$23.46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...673354571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$12.77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...680445171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...675519971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$0.34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$0.62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2.41%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$0.34 cost, 1.37%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14 purchases, $12.81 CPP, 2.65%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8 purchases, $18.80 CPP, 1.81%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4 purchases, $18.07 CPP, 2.96%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2.33% indicates compelling ad creative and targeting resonating with the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Consistent conversion pattern with 14 purchases achieved at a sustainable cost per purchase of $34.44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(22-12-2025) shows excellent efficiency with high purchase volume and CTR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and lower-performing ad sets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drop in newer ad sets (1.37% and 0.71%) indicates potential creative fatigue or targeting issues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purchase varies widely across ad sets, suggesting opportunity to standardise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top-performing ad set (22-12-2025), gradually increasing spend by 20%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fresh ad variations based on the successful creative elements from the top-performing ad set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audience overlap between ad sets and consolidate similar performing audiences to reduce competition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