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PA - Sales - LP - All - CBO - 17.1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7 March 2026 – 13 March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NeedleFree (Comfort-In) campaign is delivering results with a blended CPP of $39.59 across 12 purchases. Total ad spend for the period was $475.12 with an average CTR of 2.51%. The top performer achieved a CPP of $0.25 ((22-12-2025) - (5)). CTR is within healthy range for e-commerce campaigns.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$475.12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$39.59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2.51%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$1,985.74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127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$15.64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2.66%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$5,805.64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454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$12.79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3.80%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CPM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$1.17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$24.37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...675711571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$0.91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$21.67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...675398571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$0.69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$18.16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2.63%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...675335171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$0.65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$22.41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...673354571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$0.60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$12.77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6.38%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...680445171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$0.25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2.40%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...434619171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$0.34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1.37%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$0.59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0.71%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...245221971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$0.61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1.11%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$0.62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2.16%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...925871771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22 conversions from 1 ad(s) – Best cost: $0.25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Feb-10 Release: </w:t>
      </w:r>
      <w:r>
        <w:rPr>
          <w:color w:val="475569"/>
          <w:sz w:val="22"/>
          <w:szCs w:val="22"/>
        </w:rPr>
        <w:t xml:space="preserve">10 conversions from 2 ad(s) – Best cost: $0.34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Jan-20 Release: </w:t>
      </w:r>
      <w:r>
        <w:rPr>
          <w:color w:val="475569"/>
          <w:sz w:val="22"/>
          <w:szCs w:val="22"/>
        </w:rPr>
        <w:t xml:space="preserve">4 conversions from 1 ad(s) – Best cost: $0.59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Jan-07 Release: </w:t>
      </w:r>
      <w:r>
        <w:rPr>
          <w:color w:val="475569"/>
          <w:sz w:val="22"/>
          <w:szCs w:val="22"/>
        </w:rPr>
        <w:t xml:space="preserve">4 conversions from 1 ad(s) – Best cost: $0.62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(22-12-2025) - (5) – 22 conversions at $0.25 cost, 2.40%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(10-02-2026) - (2) – 4 conversions at $0.34 cost, 1.37%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35-44: </w:t>
      </w:r>
      <w:r>
        <w:rPr>
          <w:color w:val="475569"/>
          <w:sz w:val="22"/>
          <w:szCs w:val="22"/>
        </w:rPr>
        <w:t xml:space="preserve">10 purchases, $17.99 CPP, 2.94%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25-34: </w:t>
      </w:r>
      <w:r>
        <w:rPr>
          <w:color w:val="475569"/>
          <w:sz w:val="22"/>
          <w:szCs w:val="22"/>
        </w:rPr>
        <w:t xml:space="preserve">8 purchases, $18.32 CPP, 1.92%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45-54: </w:t>
      </w:r>
      <w:r>
        <w:rPr>
          <w:color w:val="475569"/>
          <w:sz w:val="22"/>
          <w:szCs w:val="22"/>
        </w:rPr>
        <w:t xml:space="preserve">4 purchases, $17.55 CPP, 3.14%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CTR of 2.51% indicates compelling ad creative and targeting resonating with audience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performing ad set (22-12-2025) achieved excellent cost efficiency with 22 purchases at just $0.25 per result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Campaign maintained consistent purchase volume with 12 conversions over 7 days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High impression volume (39,854) suggests good audience reach and campaign visibility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Large variance in cost per purchase across ad sets ($0.25 to $0.59) indicates room for optimisation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Lower performing ad sets (2 &amp; 3) show declining CTR, suggesting audience fatigue or targeting issues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Click-to-purchase conversion rate could be improved to reduce overall acquisition costs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Significant drop in performance between top ad set and others suggests need for creative refresh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top performing ad set's audience characteristics and replicate targeting approach across other sets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Conduct A/B testing of new creative variations based on best performing ad's messaging and visuals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Optimise campaign budget allocation to favour the best performing ad set while testing improvements to others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Review landing page experience for lower performing ads to identify conversion rate optimisation opportunities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Relationship Id="rId17" Type="http://schemas.openxmlformats.org/officeDocument/2006/relationships/image" Target="media/image_generated_10.png"/><Relationship Id="rId18" Type="http://schemas.openxmlformats.org/officeDocument/2006/relationships/image" Target="media/image_generated_1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