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8 March 2026 – 14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$68.59 across 7 purchases. Total ad spend for the period was $480.13 with an average CTR of 2.72%. The top performer achieved a CPP of $0.25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$480.13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$68.59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2.72%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$1,994.57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121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$16.48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2.71%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$5,877.03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454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$12.95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3.80%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$1.71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$24.43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...675398571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$1.61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$26.83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...675711571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$1.55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$18.45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4.76%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...680445171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$0.95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$27.14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...674206971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$0.94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$21.36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2.55%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10 conversions from 2 ad(s) – Best cost: $0.34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$0.59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$0.69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$0.25 cost, 2.40%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(2) – 4 conversions at $0.34 cost, 1.37%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8 purchases, $18.72 CPP, 2.12%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6 purchases, $30.54 CPP, 3.20%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CTR of 2.72% indicates compelling ad creative and messaging resonating with target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Consistent purchase activity with 7 conversions demonstrating product market fit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set (22-12-2025) achieved excellent cost efficiency with 22 purchases at just $0.25 cost per result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cost per purchase variance between ad sets ($0.25 to $68.59)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Lower performing ad sets showing CTR below 1.5% indicate potential audience targeting improvements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Large impression to purchase ratio suggests conversion rate optimisation potential in the funnel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top-performing ad set (22-12-2025) and analyse its audience characteristics for scaling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new ad variations based on the creative elements from the highest CTR performers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dynamic creative testing focusing on purchase-intent audiences to improve conversion rates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