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March 2026 – 15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$37.36 across 13 purchases. Total ad spend for the period was $485.65 with an average CTR of 2.69%. The top performer achieved a CPP of $0.23 ((Feb-28-26) - (26) A4884).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$485.65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$37.36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$2,019.06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$5,958.01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$0.23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(Feb-28-26) - (26) A4884 – 4 conversions at $0.23 cost, 2.27%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14 purchases, $13.31 CPP, 3.10%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8 purchases, $8.71 CPP, 3.36%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4 purchases, $38.76 CPP, 2.23%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13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