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16 March 2026 – 22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$29.10 across 5 purchases. Total ad spend for the period was $145.50 with an average CTR of 2.93%. The top performer achieved a CPP of $0.25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$145.50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$29.10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2.93%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$1,742.63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$22.34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$6,103.52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468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0.69%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$0.42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$0.62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$0.34 cost, 1.30%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6 purchases, $10.29 CPP, 3.32%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4 purchases, $4.89 CPP, 3.59%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5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