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March 2026 – 17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$31.76 across 16 purchases. Total ad spend for the period was $508.14 with an average CTR of 2.86%.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$508.14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$31.76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2.86%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$2,064.55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$17.50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$6,113.60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468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0.69%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$0.42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$0.62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$0.34 cost, 1.30%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16 purchases, $12.63 CPP, 3.26%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12 purchases, $5.92 CPP, 3.59%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4 purchases, $41.72 CPP, 2.48%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2.86%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conversion pattern with 16 purchases achieved at a sustainable cost per purchase of $31.76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(22-12-2025) shows excellent efficiency with low-cost purchases and high CTR of 2.65%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variation in purchase costs across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sets showing lower CTR (e.g., 1.30%) indicate potential targeting or creative improvements needed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suggests potential to scale successful ad sets for broader reach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ad set (22-12-2025) to maximise efficient conversions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the creative elements from the highest CTR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overlap between high and low-performing ad sets to refine targeting strategy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