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March 2026 – 21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$18.90 across 20 purchases. Total ad spend for the period was $377.99 with an average CTR of 2.70%. The top performer achieved a CPP of $0.26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$377.99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$18.90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2.70%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$1,970.91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$21.19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$6,255.02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$0.62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$0.70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$0.26 cost, 2.62%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$0.36 cost, 1.11%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16 purchases, $9.75 CPP, 2.80%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16 purchases, $4.05 CPP, 3.28%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$15.13 CPP, 2.30%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with 20 purchases achieved at an efficient cost per purchase of $18.90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2.70%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from 22-12-2025 delivered exceptional efficiency with 22 purchases at just $0.26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A4884 achieved impressive 4.26% CTR, showing strong audience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 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ranges from 1.11% to 4.26% across ad sets, indicating potential to improve lower performing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variation ($0.26 to $0.62) suggests opportunity to scale best performing targeting parameters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suggests potential to expand reach while maintaining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successful 22-12-2025 ad set targeting parameters and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A4884 (4.26% CTR) to replicate high-engagement features in new ad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purchasers from top-performing ad sets to expand reach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lowest performing ad sets and reinvest budget into top 3 performers for improved ROAS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