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23 March 2026 – 2 April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results with a blended CPP of $33.92 across 25 purchases. Total ad spend for the period was $847.90 with an average CTR of 3.51%. The top performer achieved a CPP of $0.39 ((22-12-2025) - (5)).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$847.90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25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$33.92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3.51%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$2,186.10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70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$31.23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2.99%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$7,310.46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502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$14.56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3.70%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$2.38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$23.56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0.99%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...860842171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$0.88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1.83%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...925871771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2.70%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$0.39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$0.76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6 conversions from 1 ad(s) – Best cost: $0.88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Jan-07 Release: </w:t>
      </w:r>
      <w:r>
        <w:rPr>
          <w:color w:val="475569"/>
          <w:sz w:val="22"/>
          <w:szCs w:val="22"/>
        </w:rPr>
        <w:t xml:space="preserve">4 conversions from 1 ad(s) – Best cost: $1.00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Feb-28 Release: </w:t>
      </w:r>
      <w:r>
        <w:rPr>
          <w:color w:val="475569"/>
          <w:sz w:val="22"/>
          <w:szCs w:val="22"/>
        </w:rPr>
        <w:t xml:space="preserve">4 conversions from 1 ad(s) – Best cost: $1.26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$0.39 cost, 2.65%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(20-01-2026) - (3) – 4 conversions at $0.76 cost, 1.13%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22 purchases, $12.47 CPP, 3.20%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12 purchases, $29.40 CPP, 3.51%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12 purchases, $11.26 CPP, 4.14%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Campaign is running with 25 conversions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Continue optimising campaign performance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performance and adjust as needed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