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1333500" cy="247650"/>
            <wp:effectExtent t="0" r="0" b="0" l="0"/>
            <wp:docPr id="1" name="feisty-logo" descr="Feisty Agency Logo" title="Feis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33500" cy="247650"/>
                    </a:xfrm>
                    <a:prstGeom prst="rect">
                      <a:avLst/>
                    </a:prstGeom>
                  </pic:spPr>
                </pic:pic>
              </a:graphicData>
            </a:graphic>
          </wp:inline>
        </w:drawing>
      </w:r>
    </w:p>
    <w:p>
      <w:pPr>
        <w:pStyle w:val="Heading1"/>
        <w:spacing w:before="300" w:after="100"/>
      </w:pPr>
      <w:r>
        <w:rPr>
          <w:b/>
          <w:bCs/>
          <w:color w:val="1E293B"/>
          <w:sz w:val="44"/>
          <w:szCs w:val="44"/>
        </w:rPr>
        <w:t xml:space="preserve">Meta Ads Performance Audit</w:t>
      </w:r>
    </w:p>
    <w:p>
      <w:pPr>
        <w:spacing w:after="80"/>
      </w:pPr>
      <w:r>
        <w:rPr>
          <w:b/>
          <w:bCs/>
          <w:color w:val="475569"/>
        </w:rPr>
        <w:t xml:space="preserve">Client: </w:t>
      </w:r>
      <w:r>
        <w:rPr>
          <w:color w:val="1E293B"/>
        </w:rPr>
        <w:t xml:space="preserve">Box Divvy</w:t>
      </w:r>
    </w:p>
    <w:p>
      <w:pPr>
        <w:spacing w:after="80"/>
      </w:pPr>
      <w:r>
        <w:rPr>
          <w:b/>
          <w:bCs/>
          <w:color w:val="475569"/>
        </w:rPr>
        <w:t xml:space="preserve">Campaign: </w:t>
      </w:r>
      <w:r>
        <w:rPr>
          <w:color w:val="1E293B"/>
        </w:rPr>
        <w:t xml:space="preserve">Hubster Lead Gen – Melbourne</w:t>
      </w:r>
    </w:p>
    <w:p>
      <w:pPr>
        <w:spacing w:after="80"/>
      </w:pPr>
      <w:r>
        <w:rPr>
          <w:b/>
          <w:bCs/>
          <w:color w:val="475569"/>
        </w:rPr>
        <w:t xml:space="preserve">Period: </w:t>
      </w:r>
      <w:r>
        <w:rPr>
          <w:color w:val="1E293B"/>
        </w:rPr>
        <w:t xml:space="preserve">1 December 2025 – 30 January 2026</w:t>
      </w:r>
    </w:p>
    <w:p>
      <w:pPr>
        <w:spacing w:after="300"/>
      </w:pPr>
      <w:r>
        <w:rPr>
          <w:b/>
          <w:bCs/>
          <w:color w:val="475569"/>
        </w:rPr>
        <w:t xml:space="preserve">Prepared by: </w:t>
      </w:r>
      <w:r>
        <w:rPr>
          <w:color w:val="1E293B"/>
        </w:rPr>
        <w:t xml:space="preserve">Feisty</w:t>
      </w:r>
    </w:p>
    <w:p>
      <w:pPr>
        <w:pStyle w:val="Heading2"/>
      </w:pPr>
      <w:r>
        <w:t xml:space="preserve">Executive Summary</w:t>
      </w:r>
    </w:p>
    <w:p>
      <w:pPr>
        <w:spacing w:after="200"/>
      </w:pPr>
      <w:r>
        <w:rPr>
          <w:color w:val="475569"/>
          <w:sz w:val="22"/>
          <w:szCs w:val="22"/>
        </w:rPr>
        <w:t xml:space="preserve">The Box Divvy Hubster recruitment campaign is delivering exceptional performance. With a blended CPL of $5.23 AUD across 239 leads, you're achieving 40-60% below typical lead gen benchmarks ($10-15 AUD). The Jan-29 release is already showing outstanding results, with your newest top performer achieving $3.46 CPL in just 24 hours. Combined with the proven Dec-15 creatives, you have a strong foundation for scaling.</w:t>
      </w:r>
    </w:p>
    <w:p>
      <w:pPr>
        <w:pStyle w:val="Heading2"/>
      </w:pPr>
      <w: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Spend</w:t>
            </w:r>
          </w:p>
        </w:tc>
        <w:tc>
          <w:tcPr>
            <w:tcW w:type="dxa" w:w="234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Leads</w:t>
            </w:r>
          </w:p>
        </w:tc>
        <w:tc>
          <w:tcPr>
            <w:tcW w:type="dxa" w:w="234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Blended CPL</w:t>
            </w:r>
          </w:p>
        </w:tc>
        <w:tc>
          <w:tcPr>
            <w:tcW w:type="dxa" w:w="234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CTR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$1,250.56</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239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$5.23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6.99%</w:t>
            </w:r>
          </w:p>
        </w:tc>
      </w:tr>
    </w:tbl>
    <w:p>
      <w:pPr>
        <w:spacing w:after="300"/>
      </w:pPr>
    </w:p>
    <w:p>
      <w:pPr>
        <w:pStyle w:val="Heading2"/>
      </w:pPr>
      <w:r>
        <w:t xml:space="preserve">Top 5 Performers by CPL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560"/>
        <w:gridCol w:w="1560"/>
        <w:gridCol w:w="1560"/>
        <w:gridCol w:w="2680"/>
      </w:tblGrid>
      <w:tr>
        <w:tc>
          <w:tcPr>
            <w:tcW w:type="dxa" w:w="60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40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Release Lot</w:t>
            </w:r>
          </w:p>
        </w:tc>
        <w:tc>
          <w:tcPr>
            <w:tcW w:type="dxa" w:w="156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CPL</w:t>
            </w:r>
          </w:p>
        </w:tc>
        <w:tc>
          <w:tcPr>
            <w:tcW w:type="dxa" w:w="156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Leads</w:t>
            </w:r>
          </w:p>
        </w:tc>
        <w:tc>
          <w:tcPr>
            <w:tcW w:type="dxa" w:w="156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c>
          <w:tcPr>
            <w:tcW w:type="dxa" w:w="2680"/>
            <w:gridSpan w:val="1"/>
            <w:tcBorders>
              <w:top w:val="single" w:color="E2E8F0" w:sz="1"/>
              <w:left w:val="single" w:color="E2E8F0" w:sz="1"/>
              <w:bottom w:val="single" w:color="E2E8F0" w:sz="1"/>
              <w:right w:val="single" w:color="E2E8F0"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 ID</w:t>
            </w:r>
          </w:p>
        </w:tc>
      </w:tr>
      <w:tr>
        <w:tc>
          <w:tcPr>
            <w:tcW w:type="dxa" w:w="6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Jan-29</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$3.46</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12</w:t>
            </w:r>
          </w:p>
        </w:tc>
        <w:tc>
          <w:tcPr>
            <w:tcW w:type="dxa" w:w="15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5.95%</w:t>
            </w:r>
          </w:p>
        </w:tc>
        <w:tc>
          <w:tcPr>
            <w:tcW w:type="dxa" w:w="268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...681010360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Dec-15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$3.96</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9</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5.98%</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...985710360</w:t>
            </w:r>
          </w:p>
        </w:tc>
      </w:tr>
      <w:tr>
        <w:tc>
          <w:tcPr>
            <w:tcW w:type="dxa" w:w="6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Dec-15</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0B981"/>
                <w:sz w:val="20"/>
                <w:szCs w:val="20"/>
              </w:rPr>
              <w:t xml:space="preserve">$4.44</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100</w:t>
            </w:r>
          </w:p>
        </w:tc>
        <w:tc>
          <w:tcPr>
            <w:tcW w:type="dxa" w:w="156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8.69%</w:t>
            </w:r>
          </w:p>
        </w:tc>
        <w:tc>
          <w:tcPr>
            <w:tcW w:type="dxa" w:w="268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...968670360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Dec-15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$5.44</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53</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7.50%</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...702980360</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Dec-15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$5.81</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18</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4.51%</w:t>
            </w:r>
          </w:p>
        </w:tc>
        <w:tc>
          <w:tcPr>
            <w:tcW w:type="dxa" w:w="2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...906450360</w:t>
            </w:r>
          </w:p>
        </w:tc>
      </w:tr>
    </w:tbl>
    <w:p>
      <w:pPr>
        <w:spacing w:before="100" w:after="300"/>
      </w:pPr>
      <w:r>
        <w:rPr>
          <w:i/>
          <w:iCs/>
          <w:color w:val="475569"/>
          <w:sz w:val="18"/>
          <w:szCs w:val="18"/>
        </w:rPr>
        <w:t xml:space="preserve">🔥 = New top performer (Jan-29 release) | ⭐ = Volume star (42% of total leads)</w:t>
      </w:r>
    </w:p>
    <w:p>
      <w:pPr>
        <w:pStyle w:val="Heading2"/>
      </w:pPr>
      <w:r>
        <w:t xml:space="preserve">Release Lot Performance</w:t>
      </w:r>
    </w:p>
    <w:p>
      <w:pPr>
        <w:pStyle w:val="ListParagraph"/>
        <w:numPr>
          <w:ilvl w:val="0"/>
          <w:numId w:val="2"/>
        </w:numPr>
      </w:pPr>
      <w:r>
        <w:rPr>
          <w:b/>
          <w:bCs/>
          <w:color w:val="1E293B"/>
        </w:rPr>
        <w:t xml:space="preserve">Dec-15 Release: </w:t>
      </w:r>
      <w:r>
        <w:rPr>
          <w:color w:val="475569"/>
        </w:rPr>
        <w:t xml:space="preserve">227 leads (95% of total) – Proven performers driving consistent volume</w:t>
      </w:r>
    </w:p>
    <w:p>
      <w:pPr>
        <w:pStyle w:val="ListParagraph"/>
        <w:numPr>
          <w:ilvl w:val="0"/>
          <w:numId w:val="2"/>
        </w:numPr>
        <w:spacing w:after="200"/>
      </w:pPr>
      <w:r>
        <w:rPr>
          <w:b/>
          <w:bCs/>
          <w:color w:val="1E293B"/>
        </w:rPr>
        <w:t xml:space="preserve">Jan-29 Release: </w:t>
      </w:r>
      <w:r>
        <w:rPr>
          <w:color w:val="475569"/>
        </w:rPr>
        <w:t xml:space="preserve">12 leads in &lt;48 hours – Outstanding early signal with best CPL ($3.46)</w:t>
      </w:r>
    </w:p>
    <w:p>
      <w:pPr>
        <w:pStyle w:val="Heading2"/>
      </w:pPr>
      <w:r>
        <w:t xml:space="preserve">Creative Insights</w:t>
      </w:r>
    </w:p>
    <w:p>
      <w:pPr>
        <w:spacing w:after="80"/>
      </w:pPr>
      <w:r>
        <w:rPr>
          <w:b/>
          <w:bCs/>
          <w:color w:val="1E293B"/>
        </w:rPr>
        <w:t xml:space="preserve">Jan-29 Star Performer:</w:t>
      </w:r>
    </w:p>
    <w:p>
      <w:pPr>
        <w:spacing w:after="150"/>
      </w:pPr>
      <w:r>
        <w:rPr>
          <w:color w:val="475569"/>
        </w:rPr>
        <w:t xml:space="preserve">Hubster sorting fresh produce (oranges, carrots) in branded Box Divvy boxes. Shows the actual work in an authentic, relatable way. Strong early engagement suggests this 'day in the life' approach resonates.</w:t>
      </w:r>
    </w:p>
    <w:p>
      <w:pPr>
        <w:spacing w:after="80"/>
      </w:pPr>
      <w:r>
        <w:rPr>
          <w:b/>
          <w:bCs/>
          <w:color w:val="1E293B"/>
        </w:rPr>
        <w:t xml:space="preserve">Dec-15 Volume Star:</w:t>
      </w:r>
    </w:p>
    <w:p>
      <w:pPr>
        <w:spacing w:after="300"/>
      </w:pPr>
      <w:r>
        <w:rPr>
          <w:color w:val="475569"/>
        </w:rPr>
        <w:t xml:space="preserve">UGC-style video featuring woman walking through neighbourhood with 'IN THEIR NEIGHBORHOOD' text overlay. Authentic local community feel drives highest volume (100 leads, 42% of total).</w:t>
      </w:r>
    </w:p>
    <w:p>
      <w:pPr>
        <w:pStyle w:val="Heading2"/>
      </w:pPr>
      <w:r>
        <w:t xml:space="preserve">Demographic Sweet Spot</w:t>
      </w:r>
    </w:p>
    <w:p>
      <w:pPr>
        <w:pStyle w:val="ListParagraph"/>
        <w:numPr>
          <w:ilvl w:val="0"/>
          <w:numId w:val="2"/>
        </w:numPr>
      </w:pPr>
      <w:r>
        <w:rPr>
          <w:b/>
          <w:bCs/>
          <w:color w:val="1E293B"/>
        </w:rPr>
        <w:t xml:space="preserve">Women 35-54: </w:t>
      </w:r>
      <w:r>
        <w:rPr>
          <w:color w:val="475569"/>
        </w:rPr>
        <w:t xml:space="preserve">145 leads (61% of total), $4.58-4.90 CPL, 7-9% CTR</w:t>
      </w:r>
    </w:p>
    <w:p>
      <w:pPr>
        <w:pStyle w:val="ListParagraph"/>
        <w:numPr>
          <w:ilvl w:val="0"/>
          <w:numId w:val="2"/>
        </w:numPr>
      </w:pPr>
      <w:r>
        <w:rPr>
          <w:b/>
          <w:bCs/>
          <w:color w:val="1E293B"/>
        </w:rPr>
        <w:t xml:space="preserve">Female 45-54: </w:t>
      </w:r>
      <w:r>
        <w:rPr>
          <w:color w:val="475569"/>
        </w:rPr>
        <w:t xml:space="preserve">62 leads, $4.58 CPL (best efficiency in core demo)</w:t>
      </w:r>
    </w:p>
    <w:p>
      <w:pPr>
        <w:pStyle w:val="ListParagraph"/>
        <w:numPr>
          <w:ilvl w:val="0"/>
          <w:numId w:val="2"/>
        </w:numPr>
        <w:spacing w:after="300"/>
      </w:pPr>
      <w:r>
        <w:rPr>
          <w:b/>
          <w:bCs/>
          <w:color w:val="1E293B"/>
        </w:rPr>
        <w:t xml:space="preserve">Female 18-24: </w:t>
      </w:r>
      <w:r>
        <w:rPr>
          <w:color w:val="475569"/>
        </w:rPr>
        <w:t xml:space="preserve">Lowest CPL at $4.14 (small volume, 5 leads) – potential test segment</w:t>
      </w:r>
    </w:p>
    <w:p>
      <w:pPr>
        <w:pStyle w:val="Heading2"/>
      </w:pPr>
      <w:r>
        <w:t xml:space="preserve">Key Insights</w:t>
      </w:r>
    </w:p>
    <w:p>
      <w:pPr>
        <w:spacing w:after="80"/>
      </w:pPr>
      <w:r>
        <w:rPr>
          <w:b/>
          <w:bCs/>
          <w:color w:val="10B981"/>
        </w:rPr>
        <w:t xml:space="preserve">What's Working:</w:t>
      </w:r>
    </w:p>
    <w:p>
      <w:pPr>
        <w:pStyle w:val="ListParagraph"/>
        <w:numPr>
          <w:ilvl w:val="0"/>
          <w:numId w:val="2"/>
        </w:numPr>
      </w:pPr>
      <w:r>
        <w:rPr>
          <w:color w:val="475569"/>
        </w:rPr>
        <w:t xml:space="preserve">Jan-29 release showing immediate traction – best CPL in entire campaign</w:t>
      </w:r>
    </w:p>
    <w:p>
      <w:pPr>
        <w:pStyle w:val="ListParagraph"/>
        <w:numPr>
          <w:ilvl w:val="0"/>
          <w:numId w:val="2"/>
        </w:numPr>
      </w:pPr>
      <w:r>
        <w:rPr>
          <w:color w:val="475569"/>
        </w:rPr>
        <w:t xml:space="preserve">Dec-15 creative continues to deliver reliable volume at scale</w:t>
      </w:r>
    </w:p>
    <w:p>
      <w:pPr>
        <w:pStyle w:val="ListParagraph"/>
        <w:numPr>
          <w:ilvl w:val="0"/>
          <w:numId w:val="2"/>
        </w:numPr>
      </w:pPr>
      <w:r>
        <w:rPr>
          <w:color w:val="475569"/>
        </w:rPr>
        <w:t xml:space="preserve">High CTR (6.99% avg) indicates strong creative-audience fit</w:t>
      </w:r>
    </w:p>
    <w:p>
      <w:pPr>
        <w:pStyle w:val="ListParagraph"/>
        <w:numPr>
          <w:ilvl w:val="0"/>
          <w:numId w:val="2"/>
        </w:numPr>
        <w:spacing w:after="150"/>
      </w:pPr>
      <w:r>
        <w:rPr>
          <w:color w:val="475569"/>
        </w:rPr>
        <w:t xml:space="preserve">Female 35-54 demographic sweet spot well-established</w:t>
      </w:r>
    </w:p>
    <w:p>
      <w:pPr>
        <w:spacing w:after="80"/>
      </w:pPr>
      <w:r>
        <w:rPr>
          <w:b/>
          <w:bCs/>
          <w:color w:val="1E293B"/>
        </w:rPr>
        <w:t xml:space="preserve">Opportunities:</w:t>
      </w:r>
    </w:p>
    <w:p>
      <w:pPr>
        <w:pStyle w:val="ListParagraph"/>
        <w:numPr>
          <w:ilvl w:val="0"/>
          <w:numId w:val="2"/>
        </w:numPr>
      </w:pPr>
      <w:r>
        <w:rPr>
          <w:color w:val="475569"/>
        </w:rPr>
        <w:t xml:space="preserve">Scale Jan-29 creative while momentum is hot</w:t>
      </w:r>
    </w:p>
    <w:p>
      <w:pPr>
        <w:pStyle w:val="ListParagraph"/>
        <w:numPr>
          <w:ilvl w:val="0"/>
          <w:numId w:val="2"/>
        </w:numPr>
      </w:pPr>
      <w:r>
        <w:rPr>
          <w:color w:val="475569"/>
        </w:rPr>
        <w:t xml:space="preserve">Test more 'day in the life' style creatives based on Jan-29 success</w:t>
      </w:r>
    </w:p>
    <w:p>
      <w:pPr>
        <w:pStyle w:val="ListParagraph"/>
        <w:numPr>
          <w:ilvl w:val="0"/>
          <w:numId w:val="2"/>
        </w:numPr>
        <w:spacing w:after="300"/>
      </w:pPr>
      <w:r>
        <w:rPr>
          <w:color w:val="475569"/>
        </w:rPr>
        <w:t xml:space="preserve">Consider budget reallocation toward top performers (currently 27 active ads)</w:t>
      </w:r>
    </w:p>
    <w:p>
      <w:pPr>
        <w:pStyle w:val="Heading2"/>
      </w:pPr>
      <w:r>
        <w:t xml:space="preserve">Recommended Next Steps</w:t>
      </w:r>
    </w:p>
    <w:p>
      <w:pPr>
        <w:pStyle w:val="ListParagraph"/>
        <w:numPr>
          <w:ilvl w:val="0"/>
          <w:numId w:val="2"/>
        </w:numPr>
      </w:pPr>
      <w:r>
        <w:rPr>
          <w:color w:val="475569"/>
        </w:rPr>
        <w:t xml:space="preserve">Monitor Jan-29 ads closely over next 48-72 hours to validate early signal</w:t>
      </w:r>
    </w:p>
    <w:p>
      <w:pPr>
        <w:pStyle w:val="ListParagraph"/>
        <w:numPr>
          <w:ilvl w:val="0"/>
          <w:numId w:val="2"/>
        </w:numPr>
      </w:pPr>
      <w:r>
        <w:rPr>
          <w:color w:val="475569"/>
        </w:rPr>
        <w:t xml:space="preserve">Continue testing to find consistent creative themes and hooks</w:t>
      </w:r>
    </w:p>
    <w:p>
      <w:pPr>
        <w:pStyle w:val="ListParagraph"/>
        <w:numPr>
          <w:ilvl w:val="0"/>
          <w:numId w:val="2"/>
        </w:numPr>
      </w:pPr>
      <w:r>
        <w:rPr>
          <w:color w:val="475569"/>
        </w:rPr>
        <w:t xml:space="preserve">Reuse AI-generated hooks that perform, test with different real videos</w:t>
      </w:r>
    </w:p>
    <w:p>
      <w:pPr>
        <w:pStyle w:val="ListParagraph"/>
        <w:numPr>
          <w:ilvl w:val="0"/>
          <w:numId w:val="2"/>
        </w:numPr>
        <w:spacing w:after="400"/>
      </w:pPr>
      <w:r>
        <w:rPr>
          <w:color w:val="475569"/>
        </w:rPr>
        <w:t xml:space="preserve">Double down and scale winning creative combinations</w:t>
      </w:r>
    </w:p>
    <w:p>
      <w:pPr>
        <w:spacing w:before="300"/>
        <w:jc w:val="center"/>
      </w:pPr>
      <w:r>
        <w:rPr>
          <w:i/>
          <w:iCs/>
          <w:color w:val="475569"/>
          <w:sz w:val="20"/>
          <w:szCs w:val="20"/>
        </w:rPr>
        <w:t xml:space="preserve">Questions? Let's chat about scaling these results.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528dc0d1622c973379fd4214fb22c686b9480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2026-01-30T00:08:21.820Z</dcterms:created>
  <dcterms:modified xsi:type="dcterms:W3CDTF">2026-01-30T00:08:21.821Z</dcterms:modified>
</cp:coreProperties>
</file>

<file path=docProps/custom.xml><?xml version="1.0" encoding="utf-8"?>
<Properties xmlns="http://schemas.openxmlformats.org/officeDocument/2006/custom-properties" xmlns:vt="http://schemas.openxmlformats.org/officeDocument/2006/docPropsVTypes"/>
</file>