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50023" cy="2074689"/>
            <wp:effectExtent b="0" l="0" r="0" t="0"/>
            <wp:docPr descr="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388193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3196557" cy="2128477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42662" cy="2205317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r>
        <w:drawing>
          <wp:inline>
            <wp:extent cx="3733800" cy="1962028"/>
            <wp:effectExtent b="0" l="0" r="0" t="0"/>
            <wp:docPr descr="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614237"/>
            <wp:effectExtent b="0" l="0" r="0" t="0"/>
            <wp:docPr descr="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258274"/>
            <wp:effectExtent b="0" l="0" r="0" t="0"/>
            <wp:docPr descr="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66359"/>
            <wp:effectExtent b="0" l="0" r="0" t="0"/>
            <wp:docPr descr="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r>
        <w:drawing>
          <wp:inline>
            <wp:extent cx="3733800" cy="3357173"/>
            <wp:effectExtent b="0" l="0" r="0" t="0"/>
            <wp:docPr descr="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r>
        <w:drawing>
          <wp:inline>
            <wp:extent cx="3733800" cy="2637466"/>
            <wp:effectExtent b="0" l="0" r="0" t="0"/>
            <wp:docPr descr="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End w:id="54"/>
    <w:bookmarkStart w:id="73" w:name="задание-для-самостоятельного-выполне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моедль SIR учитывает демографический процесс, в частности, что смертность уравновешивает рождаемость, а все ржденные индивидуумы появляются на свет абсолютно здоровыми. Получим следующую ситему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689163"/>
            <wp:effectExtent b="0" l="0" r="0" t="0"/>
            <wp:docPr descr="Модель SIR с учетом демографических процессов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12).</w:t>
      </w:r>
    </w:p>
    <w:p>
      <w:pPr>
        <w:pStyle w:val="CaptionedFigure"/>
      </w:pPr>
      <w:r>
        <w:drawing>
          <wp:inline>
            <wp:extent cx="3733800" cy="2440845"/>
            <wp:effectExtent b="0" l="0" r="0" t="0"/>
            <wp:docPr descr="График модели SIR с учетом демографических процессов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(рис. 13).</w:t>
      </w:r>
    </w:p>
    <w:p>
      <w:pPr>
        <w:pStyle w:val="CaptionedFigure"/>
      </w:pPr>
      <w:r>
        <w:drawing>
          <wp:inline>
            <wp:extent cx="3733800" cy="2649415"/>
            <wp:effectExtent b="0" l="0" r="0" t="0"/>
            <wp:docPr descr="Модель SIR с учетом демографических процессов в xcos с применением блока Modelica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14,15.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58675"/>
            <wp:effectExtent b="0" l="0" r="0" t="0"/>
            <wp:docPr descr="Параметры блока Modelica для модели SIR с учетом демографических процессов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Параметры блока Modelica для модели SIR с учетом демографических процессов</w:t>
      </w:r>
    </w:p>
    <w:p>
      <w:pPr>
        <w:pStyle w:val="CaptionedFigure"/>
      </w:pPr>
      <w:r>
        <w:drawing>
          <wp:inline>
            <wp:extent cx="2942984" cy="2942984"/>
            <wp:effectExtent b="0" l="0" r="0" t="0"/>
            <wp:docPr descr="Параметры блока Modelica для модели SIR с учетом демографических процессов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16).</w:t>
      </w:r>
    </w:p>
    <w:p>
      <w:pPr>
        <w:pStyle w:val="CaptionedFigure"/>
      </w:pPr>
      <w:r>
        <w:drawing>
          <wp:inline>
            <wp:extent cx="3733800" cy="2769026"/>
            <wp:effectExtent b="0" l="0" r="0" t="0"/>
            <wp:docPr descr="График модели SIR с учетом демографических процессов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у меня почему-то не получается график, а остается только пустая сетка, хотя уравнение должно быть верным, а также не происходит 30 секундная симуляция - всё завершается за секунду, хотя я ввёл время симуляции равный 30, оно сбрасывется до 1.</w:t>
      </w:r>
    </w:p>
    <w:p>
      <w:pPr>
        <w:pStyle w:val="BodyText"/>
      </w:pPr>
      <w:r>
        <w:t xml:space="preserve">Иcходя из анализа графиков можно сказать, что чем выше значение любого из параметров, тем быстрее ситема достигает стационарного состояния. При высоком коэффициенте заражения система быстро проходит через пик развития эпидемии и достигает стационарного состояния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была построена модель SIR в xcos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Хватов Максим Григорьевич</dc:creator>
  <dc:language>ru-RU</dc:language>
  <cp:keywords/>
  <dcterms:created xsi:type="dcterms:W3CDTF">2025-03-04T09:46:35Z</dcterms:created>
  <dcterms:modified xsi:type="dcterms:W3CDTF">2025-03-04T09:46:35Z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