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Моделирование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(SIR-модель)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  <w:bCs/>
        </w:rPr>
        <w:t xml:space="preserve">Цель работы:</w:t>
      </w:r>
      <w:r>
        <w:br/>
      </w:r>
      <w:r>
        <w:t xml:space="preserve">Исследовать распространение эпидемии с помощью численного решения системы дифференциальных уравнений и построить графики изменения численности восприимчивых, инфицированных и выздоровевших в двух различных случаях: при начальном числе заражённых, меньшем либо равном критическому значению ( I^* ), и при превышении этого значения.</w:t>
      </w:r>
    </w:p>
    <w:p>
      <w:r>
        <w:pict>
          <v:rect style="width:0;height:1.5pt" o:hralign="center" o:hrstd="t" o:hr="t"/>
        </w:pict>
      </w:r>
    </w:p>
    <w:bookmarkStart w:id="20" w:name="исходные-данные-вариант-45"/>
    <w:p>
      <w:pPr>
        <w:pStyle w:val="Heading2"/>
      </w:pPr>
      <w:r>
        <w:rPr>
          <w:rStyle w:val="SectionNumber"/>
        </w:rPr>
        <w:t xml:space="preserve">1</w:t>
      </w:r>
      <w:r>
        <w:tab/>
      </w:r>
      <w:r>
        <w:t xml:space="preserve">Исходные данные (Вариант 45)</w:t>
      </w:r>
    </w:p>
    <w:p>
      <w:pPr>
        <w:pStyle w:val="FirstParagraph"/>
      </w:pPr>
      <w:r>
        <w:t xml:space="preserve">На острове проживает ( N = 6666 ) человек. Начальные условия: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Случай 1:</w:t>
      </w:r>
    </w:p>
    <w:p>
      <w:pPr>
        <w:pStyle w:val="Compact"/>
        <w:numPr>
          <w:ilvl w:val="1"/>
          <w:numId w:val="1002"/>
        </w:numPr>
      </w:pPr>
      <w:r>
        <w:t xml:space="preserve">( I(0) = 83 ) — инфицированные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( R(0) = 6 ) — иммунные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( S(0) = N - I(0) - R(0) = 6577 )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Случай 2:</w:t>
      </w:r>
    </w:p>
    <w:p>
      <w:pPr>
        <w:pStyle w:val="Compact"/>
        <w:numPr>
          <w:ilvl w:val="1"/>
          <w:numId w:val="1003"/>
        </w:numPr>
      </w:pPr>
      <w:r>
        <w:t xml:space="preserve">( I(0) = 150 ) — инфицированные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( R(0) = 6 ) — иммунные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( S(0) = N - I(0) - R(0) = 6510 )</w:t>
      </w:r>
    </w:p>
    <w:p>
      <w:pPr>
        <w:pStyle w:val="FirstParagraph"/>
      </w:pPr>
      <w:r>
        <w:rPr>
          <w:b/>
          <w:bCs/>
        </w:rPr>
        <w:t xml:space="preserve">Параметры модели:</w:t>
      </w:r>
    </w:p>
    <w:p>
      <w:pPr>
        <w:pStyle w:val="Compact"/>
        <w:numPr>
          <w:ilvl w:val="0"/>
          <w:numId w:val="1004"/>
        </w:numPr>
      </w:pPr>
      <w:r>
        <w:t xml:space="preserve">(</w:t>
      </w:r>
      <w:r>
        <w:t xml:space="preserve"> </w:t>
      </w:r>
      <w:r>
        <w:t xml:space="preserve">= 0.0001 ) — коэффициент заражения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(</w:t>
      </w:r>
      <w:r>
        <w:t xml:space="preserve"> </w:t>
      </w:r>
      <w:r>
        <w:t xml:space="preserve">= 0.05 ) — коэффициент выздоровления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( I^* = 100 ) — пороговое значение числа инфицированных</w:t>
      </w:r>
    </w:p>
    <w:p>
      <w:r>
        <w:pict>
          <v:rect style="width:0;height:1.5pt" o:hralign="center" o:hrstd="t" o:hr="t"/>
        </w:pict>
      </w:r>
    </w:p>
    <w:bookmarkEnd w:id="20"/>
    <w:bookmarkStart w:id="21" w:name="математическая-модель-sir"/>
    <w:p>
      <w:pPr>
        <w:pStyle w:val="Heading2"/>
      </w:pPr>
      <w:r>
        <w:rPr>
          <w:rStyle w:val="SectionNumber"/>
        </w:rPr>
        <w:t xml:space="preserve">2</w:t>
      </w:r>
      <w:r>
        <w:tab/>
      </w:r>
      <w:r>
        <w:t xml:space="preserve">Математическая модель (SIR)</w:t>
      </w:r>
    </w:p>
    <w:p>
      <w:pPr>
        <w:pStyle w:val="FirstParagraph"/>
      </w:pPr>
      <w:r>
        <w:t xml:space="preserve">SIR-модель описывается системой обыкновенных дифференциальных уравнений. В зависимости от того, превышает ли число инфицированных пороговое значение ( I^* ), модель принимает два вида:</w:t>
      </w:r>
    </w:p>
    <w:p>
      <w:pPr>
        <w:pStyle w:val="BodyText"/>
      </w:pPr>
      <w:r>
        <w:rPr>
          <w:b/>
          <w:bCs/>
        </w:rPr>
        <w:t xml:space="preserve">Если ( I &gt; I^* ):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S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α</m:t>
                </m:r>
                <m:r>
                  <m:rPr>
                    <m:sty m:val="p"/>
                  </m:rPr>
                  <m:t>⋅</m:t>
                </m:r>
                <m:r>
                  <m:t>S</m:t>
                </m:r>
                <m:r>
                  <m:rPr>
                    <m:sty m:val="p"/>
                  </m:rPr>
                  <m:t>⋅</m:t>
                </m:r>
                <m:r>
                  <m:t>I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I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⋅</m:t>
                </m:r>
                <m:r>
                  <m:t>S</m:t>
                </m:r>
                <m:r>
                  <m:rPr>
                    <m:sty m:val="p"/>
                  </m:rPr>
                  <m:t>⋅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β</m:t>
                </m:r>
                <m:r>
                  <m:rPr>
                    <m:sty m:val="p"/>
                  </m:rPr>
                  <m:t>⋅</m:t>
                </m:r>
                <m:r>
                  <m:t>I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R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β</m:t>
                </m:r>
                <m:r>
                  <m:rPr>
                    <m:sty m:val="p"/>
                  </m:rPr>
                  <m:t>⋅</m:t>
                </m:r>
                <m:r>
                  <m:t>I</m:t>
                </m:r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Если ( I</w:t>
      </w:r>
      <w:r>
        <w:rPr>
          <w:b/>
          <w:bCs/>
        </w:rPr>
        <w:t xml:space="preserve"> </w:t>
      </w:r>
      <w:r>
        <w:rPr>
          <w:b/>
          <w:bCs/>
        </w:rPr>
        <w:t xml:space="preserve">I^* ):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S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I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β</m:t>
                </m:r>
                <m:r>
                  <m:rPr>
                    <m:sty m:val="p"/>
                  </m:rPr>
                  <m:t>⋅</m:t>
                </m:r>
                <m:r>
                  <m:t>I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R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β</m:t>
                </m:r>
                <m:r>
                  <m:rPr>
                    <m:sty m:val="p"/>
                  </m:rPr>
                  <m:t>⋅</m:t>
                </m:r>
                <m:r>
                  <m:t>I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21"/>
    <w:bookmarkStart w:id="22" w:name="реализация-в-scilab"/>
    <w:p>
      <w:pPr>
        <w:pStyle w:val="Heading2"/>
      </w:pPr>
      <w:r>
        <w:rPr>
          <w:rStyle w:val="SectionNumber"/>
        </w:rPr>
        <w:t xml:space="preserve">3</w:t>
      </w:r>
      <w:r>
        <w:tab/>
      </w:r>
      <w:r>
        <w:t xml:space="preserve">Реализация в Scilab</w:t>
      </w:r>
    </w:p>
    <w:p>
      <w:pPr>
        <w:pStyle w:val="FirstParagraph"/>
      </w:pPr>
      <w:r>
        <w:t xml:space="preserve">Реализация модели выполнена в</w:t>
      </w:r>
      <w:r>
        <w:t xml:space="preserve"> </w:t>
      </w:r>
      <w:r>
        <w:rPr>
          <w:b/>
          <w:bCs/>
        </w:rPr>
        <w:t xml:space="preserve">Scilab</w:t>
      </w:r>
      <w:r>
        <w:t xml:space="preserve"> </w:t>
      </w:r>
      <w:r>
        <w:t xml:space="preserve">с использованием численного метода решения системы ОДУ (</w:t>
      </w:r>
      <w:r>
        <w:rPr>
          <w:rStyle w:val="VerbatimChar"/>
        </w:rPr>
        <w:t xml:space="preserve">ode</w:t>
      </w:r>
      <w:r>
        <w:t xml:space="preserve">). Были построены графики численности ( S(t) ), ( I(t) ), ( R(t) ) во времени для обоих случаев: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Случай 1: ( I(0) = 83</w:t>
      </w:r>
      <w:r>
        <w:rPr>
          <w:b/>
          <w:bCs/>
        </w:rPr>
        <w:t xml:space="preserve"> </w:t>
      </w:r>
      <w:r>
        <w:rPr>
          <w:b/>
          <w:bCs/>
        </w:rPr>
        <w:t xml:space="preserve">I^* )</w:t>
      </w:r>
      <w:r>
        <w:br/>
      </w:r>
      <w:r>
        <w:t xml:space="preserve">Заражение не распространяется. Количество инфицированных экспоненциально убывает, число здоровых остаётся постоянным.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Случай 2: ( I(0) = 150 &gt; I^* )</w:t>
      </w:r>
      <w:r>
        <w:br/>
      </w:r>
      <w:r>
        <w:t xml:space="preserve">Эпидемия активно распространяется. Наблюдается рост числа заболевших с последующим пиком и спадом. Часть восприимчивых переходит в категорию выздоровевших.</w:t>
      </w:r>
    </w:p>
    <w:p>
      <w:r>
        <w:pict>
          <v:rect style="width:0;height:1.5pt" o:hralign="center" o:hrstd="t" o:hr="t"/>
        </w:pict>
      </w:r>
    </w:p>
    <w:bookmarkEnd w:id="22"/>
    <w:bookmarkStart w:id="31" w:name="результаты"/>
    <w:p>
      <w:pPr>
        <w:pStyle w:val="Heading2"/>
      </w:pPr>
      <w:r>
        <w:rPr>
          <w:rStyle w:val="SectionNumber"/>
        </w:rPr>
        <w:t xml:space="preserve">4</w:t>
      </w:r>
      <w:r>
        <w:tab/>
      </w:r>
      <w:r>
        <w:t xml:space="preserve">Результаты</w:t>
      </w:r>
    </w:p>
    <w:bookmarkStart w:id="26" w:name="графики-для-случая-1-i0-i"/>
    <w:p>
      <w:pPr>
        <w:pStyle w:val="Heading3"/>
      </w:pPr>
      <w:r>
        <w:rPr>
          <w:rStyle w:val="SectionNumber"/>
        </w:rPr>
        <w:t xml:space="preserve">4.1</w:t>
      </w:r>
      <w:r>
        <w:tab/>
      </w:r>
      <w:r>
        <w:t xml:space="preserve">Графики для случая 1: ( I(0)</w:t>
      </w:r>
      <w:r>
        <w:t xml:space="preserve"> </w:t>
      </w:r>
      <w:r>
        <w:t xml:space="preserve">I^* )</w:t>
      </w:r>
    </w:p>
    <w:p>
      <w:pPr>
        <w:pStyle w:val="CaptionedFigure"/>
      </w:pPr>
      <w:r>
        <w:drawing>
          <wp:inline>
            <wp:extent cx="3733800" cy="3481183"/>
            <wp:effectExtent b="0" l="0" r="0" t="0"/>
            <wp:docPr descr="График 1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1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1</w:t>
      </w:r>
    </w:p>
    <w:bookmarkEnd w:id="26"/>
    <w:bookmarkStart w:id="30" w:name="графики-для-случая-2-i0-i"/>
    <w:p>
      <w:pPr>
        <w:pStyle w:val="Heading3"/>
      </w:pPr>
      <w:r>
        <w:rPr>
          <w:rStyle w:val="SectionNumber"/>
        </w:rPr>
        <w:t xml:space="preserve">4.2</w:t>
      </w:r>
      <w:r>
        <w:tab/>
      </w:r>
      <w:r>
        <w:t xml:space="preserve">Графики для случая 2: ( I(0) &gt; I^* )</w:t>
      </w:r>
    </w:p>
    <w:p>
      <w:pPr>
        <w:pStyle w:val="CaptionedFigure"/>
      </w:pPr>
      <w:r>
        <w:drawing>
          <wp:inline>
            <wp:extent cx="3733800" cy="3503549"/>
            <wp:effectExtent b="0" l="0" r="0" t="0"/>
            <wp:docPr descr="График 2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2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выводы"/>
    <w:p>
      <w:pPr>
        <w:pStyle w:val="Heading2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Compact"/>
        <w:numPr>
          <w:ilvl w:val="0"/>
          <w:numId w:val="1006"/>
        </w:numPr>
      </w:pPr>
      <w:r>
        <w:t xml:space="preserve">При ( I(0)</w:t>
      </w:r>
      <w:r>
        <w:t xml:space="preserve"> </w:t>
      </w:r>
      <w:r>
        <w:t xml:space="preserve">I^* ) заражение не распространяется, так как не достигается критическое значение инфицированных.</w:t>
      </w:r>
    </w:p>
    <w:p>
      <w:pPr>
        <w:pStyle w:val="Compact"/>
        <w:numPr>
          <w:ilvl w:val="0"/>
          <w:numId w:val="1006"/>
        </w:numPr>
      </w:pPr>
      <w:r>
        <w:t xml:space="preserve">При ( I(0) &gt; I^* ) наблюдается массовое заражение, за которым следует спад. Это соответствует классическому сценарию эпидемии.</w:t>
      </w:r>
    </w:p>
    <w:p>
      <w:pPr>
        <w:pStyle w:val="Compact"/>
        <w:numPr>
          <w:ilvl w:val="0"/>
          <w:numId w:val="1006"/>
        </w:numPr>
      </w:pPr>
      <w:r>
        <w:t xml:space="preserve">Модель SIR позволяет прогнозировать течение эпидемии и оценить эффективность ограничительных мер в зависимости от начальных условий.</w:t>
      </w:r>
    </w:p>
    <w:bookmarkEnd w:id="32"/>
    <w:bookmarkStart w:id="33" w:name="приложение.-исходный-код"/>
    <w:p>
      <w:pPr>
        <w:pStyle w:val="Heading2"/>
      </w:pPr>
      <w:r>
        <w:rPr>
          <w:rStyle w:val="SectionNumber"/>
        </w:rPr>
        <w:t xml:space="preserve">6</w:t>
      </w:r>
      <w:r>
        <w:tab/>
      </w:r>
      <w:r>
        <w:t xml:space="preserve">Приложение. Исходный код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dydt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system_epidemic</w:t>
      </w:r>
      <w:r>
        <w:rPr>
          <w:rStyle w:val="NormalTok"/>
        </w:rPr>
        <w:t xml:space="preserve">(t, y, alpha, beta, I_star)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I_star then</w:t>
      </w:r>
      <w:r>
        <w:br/>
      </w:r>
      <w:r>
        <w:rPr>
          <w:rStyle w:val="NormalTok"/>
        </w:rPr>
        <w:t xml:space="preserve">        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    dI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dI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dydt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[dS; dI; dR];</w:t>
      </w:r>
      <w:r>
        <w:br/>
      </w:r>
      <w:r>
        <w:rPr>
          <w:rStyle w:val="NormalTok"/>
        </w:rPr>
        <w:t xml:space="preserve">endfunction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Общие параметры</w:t>
      </w:r>
      <w:r>
        <w:br/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I_star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6666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----</w:t>
      </w:r>
      <w:r>
        <w:rPr>
          <w:rStyle w:val="NormalTok"/>
        </w:rPr>
        <w:t xml:space="preserve"> Случай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I0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I0_1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83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R0_1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S0_1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I0_1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R0_1;</w:t>
      </w:r>
      <w:r>
        <w:br/>
      </w:r>
      <w:r>
        <w:rPr>
          <w:rStyle w:val="NormalTok"/>
        </w:rPr>
        <w:t xml:space="preserve">y0_1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[S0_1; I0_1; R0_1];</w:t>
      </w:r>
      <w:r>
        <w:br/>
      </w:r>
      <w:r>
        <w:br/>
      </w:r>
      <w:r>
        <w:rPr>
          <w:rStyle w:val="FunctionTok"/>
        </w:rPr>
        <w:t xml:space="preserve">deff</w:t>
      </w:r>
      <w:r>
        <w:rPr>
          <w:rStyle w:val="NormalTok"/>
        </w:rPr>
        <w:t xml:space="preserve">(</w:t>
      </w:r>
      <w:r>
        <w:rPr>
          <w:rStyle w:val="CharTok"/>
        </w:rPr>
        <w:t xml:space="preserve">'dydt = f1(t,y)'</w:t>
      </w:r>
      <w:r>
        <w:rPr>
          <w:rStyle w:val="NormalTok"/>
        </w:rPr>
        <w:t xml:space="preserve">, </w:t>
      </w:r>
      <w:r>
        <w:rPr>
          <w:rStyle w:val="CharTok"/>
        </w:rPr>
        <w:t xml:space="preserve">'dydt = system_epidemic(t, y, alpha, beta, I_star)'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(y0_1,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t, f1);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----</w:t>
      </w:r>
      <w:r>
        <w:rPr>
          <w:rStyle w:val="NormalTok"/>
        </w:rPr>
        <w:t xml:space="preserve"> Случай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I0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I0_2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R0_2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S0_2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I0_2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R0_2;</w:t>
      </w:r>
      <w:r>
        <w:br/>
      </w:r>
      <w:r>
        <w:rPr>
          <w:rStyle w:val="NormalTok"/>
        </w:rPr>
        <w:t xml:space="preserve">y0_2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[S0_2; I0_2; R0_2];</w:t>
      </w:r>
      <w:r>
        <w:br/>
      </w:r>
      <w:r>
        <w:br/>
      </w:r>
      <w:r>
        <w:rPr>
          <w:rStyle w:val="FunctionTok"/>
        </w:rPr>
        <w:t xml:space="preserve">deff</w:t>
      </w:r>
      <w:r>
        <w:rPr>
          <w:rStyle w:val="NormalTok"/>
        </w:rPr>
        <w:t xml:space="preserve">(</w:t>
      </w:r>
      <w:r>
        <w:rPr>
          <w:rStyle w:val="CharTok"/>
        </w:rPr>
        <w:t xml:space="preserve">'dydt = f2(t,y)'</w:t>
      </w:r>
      <w:r>
        <w:rPr>
          <w:rStyle w:val="NormalTok"/>
        </w:rPr>
        <w:t xml:space="preserve">, </w:t>
      </w:r>
      <w:r>
        <w:rPr>
          <w:rStyle w:val="CharTok"/>
        </w:rPr>
        <w:t xml:space="preserve">'dydt = system_epidemic(t, y, alpha, beta, I_star)'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(y0_2,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t, f2);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----</w:t>
      </w:r>
      <w:r>
        <w:rPr>
          <w:rStyle w:val="NormalTok"/>
        </w:rPr>
        <w:t xml:space="preserve"> Построение графиков</w:t>
      </w:r>
      <w:r>
        <w:br/>
      </w:r>
      <w:r>
        <w:rPr>
          <w:rStyle w:val="FunctionTok"/>
        </w:rPr>
        <w:t xml:space="preserve">scf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(t, </w:t>
      </w:r>
      <w:r>
        <w:rPr>
          <w:rStyle w:val="FunctionTok"/>
        </w:rPr>
        <w:t xml:space="preserve">y1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), </w:t>
      </w:r>
      <w:r>
        <w:rPr>
          <w:rStyle w:val="CharTok"/>
        </w:rPr>
        <w:t xml:space="preserve">'b'</w:t>
      </w:r>
      <w:r>
        <w:rPr>
          <w:rStyle w:val="NormalTok"/>
        </w:rPr>
        <w:t xml:space="preserve">, t, </w:t>
      </w:r>
      <w:r>
        <w:rPr>
          <w:rStyle w:val="FunctionTok"/>
        </w:rPr>
        <w:t xml:space="preserve">y1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), </w:t>
      </w:r>
      <w:r>
        <w:rPr>
          <w:rStyle w:val="CharTok"/>
        </w:rPr>
        <w:t xml:space="preserve">'r'</w:t>
      </w:r>
      <w:r>
        <w:rPr>
          <w:rStyle w:val="NormalTok"/>
        </w:rPr>
        <w:t xml:space="preserve">, t, </w:t>
      </w:r>
      <w:r>
        <w:rPr>
          <w:rStyle w:val="FunctionTok"/>
        </w:rPr>
        <w:t xml:space="preserve">y1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), </w:t>
      </w:r>
      <w:r>
        <w:rPr>
          <w:rStyle w:val="CharTok"/>
        </w:rPr>
        <w:t xml:space="preserve">'g'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"S(t) — I₀=83"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"I(t) — I₀=83"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"R(t) — I₀=83"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"Случай 1: I₀ = 83 \le I*"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"Время (дни)"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"Число особей"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xgrid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FunctionTok"/>
        </w:rPr>
        <w:t xml:space="preserve">scf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(t, </w:t>
      </w:r>
      <w:r>
        <w:rPr>
          <w:rStyle w:val="FunctionTok"/>
        </w:rPr>
        <w:t xml:space="preserve">y2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), </w:t>
      </w:r>
      <w:r>
        <w:rPr>
          <w:rStyle w:val="CharTok"/>
        </w:rPr>
        <w:t xml:space="preserve">'b--'</w:t>
      </w:r>
      <w:r>
        <w:rPr>
          <w:rStyle w:val="NormalTok"/>
        </w:rPr>
        <w:t xml:space="preserve">, t, </w:t>
      </w:r>
      <w:r>
        <w:rPr>
          <w:rStyle w:val="FunctionTok"/>
        </w:rPr>
        <w:t xml:space="preserve">y2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), </w:t>
      </w:r>
      <w:r>
        <w:rPr>
          <w:rStyle w:val="CharTok"/>
        </w:rPr>
        <w:t xml:space="preserve">'r--'</w:t>
      </w:r>
      <w:r>
        <w:rPr>
          <w:rStyle w:val="NormalTok"/>
        </w:rPr>
        <w:t xml:space="preserve">, t, </w:t>
      </w:r>
      <w:r>
        <w:rPr>
          <w:rStyle w:val="FunctionTok"/>
        </w:rPr>
        <w:t xml:space="preserve">y2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), </w:t>
      </w:r>
      <w:r>
        <w:rPr>
          <w:rStyle w:val="CharTok"/>
        </w:rPr>
        <w:t xml:space="preserve">'g--'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"S(t) — I₀=150"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"I(t) — I₀=150"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"R(t) — I₀=150"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"Случай 2: I₀ = 150 &gt; I*"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"Время (дни)"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"Число особей"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xgrid</w:t>
      </w:r>
      <w:r>
        <w:rPr>
          <w:rStyle w:val="NormalTok"/>
        </w:rPr>
        <w:t xml:space="preserve">();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Хватов Максим Григорьевич</dc:creator>
  <dc:language>ru-RU</dc:language>
  <cp:keywords/>
  <dcterms:created xsi:type="dcterms:W3CDTF">2025-04-07T08:07:43Z</dcterms:created>
  <dcterms:modified xsi:type="dcterms:W3CDTF">2025-04-07T08:07:43Z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Моделирование распространения эпидемии (SIR-модель)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