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45)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динамику конкуренции двух фирм на рынке с учетом:</w:t>
      </w:r>
      <w:r>
        <w:br/>
      </w:r>
      <w:r>
        <w:t xml:space="preserve">1. Экономических факторов (себестоимость, длительность производственного цикла)</w:t>
      </w:r>
      <w:r>
        <w:br/>
      </w:r>
      <w:r>
        <w:t xml:space="preserve">2. Социально-психологических факторов (предпочтения потребителей)</w:t>
      </w:r>
      <w:r>
        <w:br/>
      </w:r>
      <w:r>
        <w:t xml:space="preserve">3. Определить условия достижения стационарных состояний</w:t>
      </w:r>
      <w:r>
        <w:br/>
      </w:r>
      <w:r>
        <w:t xml:space="preserve">4. Проанализировать влияние параметров модели на исход конкурентной борьбы</w:t>
      </w:r>
    </w:p>
    <w:bookmarkStart w:id="20" w:name="исходные-данные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Исходные данные</w:t>
      </w:r>
    </w:p>
    <w:p>
      <w:pPr>
        <w:pStyle w:val="FirstParagraph"/>
      </w:pPr>
      <w:r>
        <w:rPr>
          <w:b/>
          <w:bCs/>
        </w:rPr>
        <w:t xml:space="preserve">Параметры:</w:t>
      </w:r>
      <w:r>
        <w:br/>
      </w:r>
      <w:r>
        <w:t xml:space="preserve">- Критическая цена: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40</m:t>
        </m:r>
        <m:r>
          <m:t> </m:t>
        </m:r>
        <m:r>
          <m:t>000</m:t>
        </m:r>
      </m:oMath>
      <w:r>
        <w:br/>
      </w:r>
      <w:r>
        <w:t xml:space="preserve">- Число потребителей: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43</m:t>
        </m:r>
        <m:r>
          <m:t> </m:t>
        </m:r>
        <m:r>
          <m:t>000</m:t>
        </m:r>
      </m:oMath>
      <w:r>
        <w:br/>
      </w:r>
      <w:r>
        <w:t xml:space="preserve">- Макс. потребность: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</m:oMath>
      <w:r>
        <w:br/>
      </w:r>
      <w:r>
        <w:t xml:space="preserve">- Производственные циклы: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14</m:t>
        </m:r>
      </m:oMath>
      <w:r>
        <w:br/>
      </w:r>
      <w:r>
        <w:t xml:space="preserve">- Себестоимости: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t> </m:t>
        </m:r>
        <m:r>
          <m:t>700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19</m:t>
        </m:r>
        <m:r>
          <m:t> </m:t>
        </m:r>
        <m:r>
          <m:t>100</m:t>
        </m:r>
      </m:oMath>
      <w:r>
        <w:br/>
      </w:r>
      <w:r>
        <w:t xml:space="preserve">- Начальные оборотные средства: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2.6</m:t>
        </m:r>
        <m:r>
          <m:t> </m:t>
        </m:r>
        <m:r>
          <m:rPr>
            <m:nor/>
            <m:sty m:val="p"/>
          </m:rPr>
          <m:t>млн</m:t>
        </m:r>
      </m:oMath>
      <w:r>
        <w:t xml:space="preserve">,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6.2</m:t>
        </m:r>
        <m:r>
          <m:t> </m:t>
        </m:r>
        <m:r>
          <m:rPr>
            <m:nor/>
            <m:sty m:val="p"/>
          </m:rPr>
          <m:t>млн</m:t>
        </m:r>
      </m:oMath>
    </w:p>
    <w:p>
      <w:pPr>
        <w:pStyle w:val="BodyText"/>
      </w:pPr>
      <w:r>
        <w:rPr>
          <w:b/>
          <w:bCs/>
        </w:rPr>
        <w:t xml:space="preserve">Коэффициенты:</w:t>
      </w:r>
      <w:r>
        <w:br/>
      </w:r>
    </w:p>
    <w:p>
      <w:pPr>
        <w:pStyle w:val="BodyText"/>
      </w:pPr>
      <w:r>
        <w:t xml:space="preserve">$$
a_1 = \frac{p_{cr}}{\tau_1^2 \hat{p}_1^2 N q}, \quad 
a_2 = \frac{p_{cr}}{\tau_2^2 \hat{p}_2^2 N q}, \quad 
b = \frac{p_{cr}}{\tau_1^2 \tau_2^2 \hat{p}_1^2 \hat{p}_2^2 N q}, \\
c_1 = \frac{p_{cr} - \hat{p}_1}{\tau_1 \hat{p}_1}, \quad 
c_2 = \frac{p_{cr} - \hat{p}_2}{\tau_2 \hat{p}_2}.
$$</w:t>
      </w:r>
    </w:p>
    <w:bookmarkEnd w:id="20"/>
    <w:bookmarkStart w:id="27" w:name="код-в-scilab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Код в Scilab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Параметры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</w:t>
      </w:r>
      <w:r>
        <w:rPr>
          <w:rStyle w:val="NormalTok"/>
        </w:rPr>
        <w:t xml:space="preserve">;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</w:t>
      </w:r>
      <w:r>
        <w:rPr>
          <w:rStyle w:val="NormalTok"/>
        </w:rPr>
        <w:t xml:space="preserve">;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;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;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rPr>
          <w:rStyle w:val="NormalTok"/>
        </w:rPr>
        <w:t xml:space="preserve">;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Расчет коэффициентов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Система уравнений для Случая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syst1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Система уравнений для Случая 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syst2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0.00026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; 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];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syst1);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syst2);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 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графиков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clf</w:t>
      </w:r>
      <w:r>
        <w:rPr>
          <w:rStyle w:val="NormalTok"/>
        </w:rPr>
        <w:t xml:space="preserve">();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y1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'g'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"Случай 1: Независимая конкуренция"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 (θ)"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"Оборотные средства (млн)"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;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clf</w:t>
      </w:r>
      <w:r>
        <w:rPr>
          <w:rStyle w:val="NormalTok"/>
        </w:rPr>
        <w:t xml:space="preserve">();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, t,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'g'</w:t>
      </w:r>
      <w:r>
        <w:rPr>
          <w:rStyle w:val="NormalTok"/>
        </w:rPr>
        <w:t xml:space="preserve">); 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"Случай 2: Влияние социальных факторов"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 (θ)"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"Оборотные средства (млн)"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"Фирма 1"</w:t>
      </w:r>
      <w:r>
        <w:rPr>
          <w:rStyle w:val="NormalTok"/>
        </w:rPr>
        <w:t xml:space="preserve">; </w:t>
      </w:r>
      <w:r>
        <w:rPr>
          <w:rStyle w:val="StringTok"/>
        </w:rPr>
        <w:t xml:space="preserve">"Фирма 2"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Результат выполнения кода:</w:t>
      </w:r>
    </w:p>
    <w:p>
      <w:pPr>
        <w:pStyle w:val="CaptionedFigure"/>
      </w:pPr>
      <w:r>
        <w:drawing>
          <wp:inline>
            <wp:extent cx="3733800" cy="3529462"/>
            <wp:effectExtent b="0" l="0" r="0" t="0"/>
            <wp:docPr descr="Независимая конкуренц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Независимая конкуренция</w:t>
      </w:r>
    </w:p>
    <w:p>
      <w:pPr>
        <w:pStyle w:val="CaptionedFigure"/>
      </w:pPr>
      <w:r>
        <w:drawing>
          <wp:inline>
            <wp:extent cx="3733800" cy="3464034"/>
            <wp:effectExtent b="0" l="0" r="0" t="0"/>
            <wp:docPr descr="Влияние социальных факторо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Влияние социальных факторов</w:t>
      </w:r>
    </w:p>
    <w:bookmarkEnd w:id="27"/>
    <w:bookmarkEnd w:id="28"/>
    <w:bookmarkStart w:id="32" w:name="Xabf24d5893be8628e2b825543fb2cab8f398c82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Анализ графиков динамики конкуренции двух фирм</w:t>
      </w:r>
    </w:p>
    <w:bookmarkStart w:id="29" w:name="Xdadabaeb00895b97af0af847a6835f6b6125ca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Случаю 1: Независимая конкуренция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Стабилизация рынка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Обе фирмы достигают устойчивого равновесия через ≈20 единиц безразмерного времени</w:t>
      </w:r>
    </w:p>
    <w:p>
      <w:pPr>
        <w:pStyle w:val="Compact"/>
        <w:numPr>
          <w:ilvl w:val="1"/>
          <w:numId w:val="1002"/>
        </w:numPr>
      </w:pPr>
      <w:r>
        <w:t xml:space="preserve">Фирма 1 выходит на уровень ≈5.3 млн (синяя линия)</w:t>
      </w:r>
    </w:p>
    <w:p>
      <w:pPr>
        <w:pStyle w:val="Compact"/>
        <w:numPr>
          <w:ilvl w:val="1"/>
          <w:numId w:val="1002"/>
        </w:numPr>
      </w:pPr>
      <w:r>
        <w:t xml:space="preserve">Фирма 2 стабилизируется на ≈3.8 млн (зеленая линия)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Динамика развития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Несмотря на начальное преимущество Фирмы 2 (6.2 млн против 2.6 млн), более низкая себестоимость Фирмы 1 обеспечивает ей лидерство</w:t>
      </w:r>
    </w:p>
    <w:p>
      <w:pPr>
        <w:pStyle w:val="Compact"/>
        <w:numPr>
          <w:ilvl w:val="1"/>
          <w:numId w:val="1003"/>
        </w:numPr>
      </w:pPr>
      <w:r>
        <w:t xml:space="preserve">Перелом тенденции происходит на временном интервале θ≈5-10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Ключевой фактор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Разница в себестоимости (10 700 vs 19 100) оказалась решающей при прочих равных условиях</w:t>
      </w:r>
    </w:p>
    <w:bookmarkEnd w:id="29"/>
    <w:bookmarkStart w:id="30" w:name="Xf7dfb63417072c644a47ea4640e92401dcd02e8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Случаю 2: Влияние социальных факторов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Качественное изменение динамики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Фирма 1 (синяя) демонстрирует ускоренный рост до ≈5.5 млн</w:t>
      </w:r>
    </w:p>
    <w:p>
      <w:pPr>
        <w:pStyle w:val="Compact"/>
        <w:numPr>
          <w:ilvl w:val="1"/>
          <w:numId w:val="1006"/>
        </w:numPr>
      </w:pPr>
      <w:r>
        <w:t xml:space="preserve">Фирма 2 (зеленая) теряет позиции, падая до ≈1.2 млн к θ=50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Критический эффект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Добавление малого коэффициента социального предпочтения (+0.00026) вызывает:</w:t>
      </w:r>
    </w:p>
    <w:p>
      <w:pPr>
        <w:pStyle w:val="Compact"/>
        <w:numPr>
          <w:ilvl w:val="2"/>
          <w:numId w:val="1008"/>
        </w:numPr>
      </w:pPr>
      <w:r>
        <w:t xml:space="preserve">Ускоренный рост Фирмы 1 на 4% (с 5.3 до 5.5 млн)</w:t>
      </w:r>
    </w:p>
    <w:p>
      <w:pPr>
        <w:pStyle w:val="Compact"/>
        <w:numPr>
          <w:ilvl w:val="2"/>
          <w:numId w:val="1008"/>
        </w:numPr>
      </w:pPr>
      <w:r>
        <w:t xml:space="preserve">Обвал Фирмы 2 на 68% (с 3.8 до 1.2 млн)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Необратимость процесса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После θ≈30 изменение оборотных средств Фирмы 2 становится нелинейным</w:t>
      </w:r>
    </w:p>
    <w:p>
      <w:pPr>
        <w:pStyle w:val="Compact"/>
        <w:numPr>
          <w:ilvl w:val="1"/>
          <w:numId w:val="1009"/>
        </w:numPr>
      </w:pPr>
      <w:r>
        <w:t xml:space="preserve">Система приходит в новое устойчивое состояние с доминированием одной фирмы</w:t>
      </w:r>
    </w:p>
    <w:bookmarkEnd w:id="30"/>
    <w:bookmarkStart w:id="31" w:name="сравнительные-вывод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Сравнительные выводы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Чувствительность системы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Рыночная конкуренция крайне чувствительна к малым изменениям социальных факторов</w:t>
      </w:r>
    </w:p>
    <w:p>
      <w:pPr>
        <w:pStyle w:val="Compact"/>
        <w:numPr>
          <w:ilvl w:val="1"/>
          <w:numId w:val="1011"/>
        </w:numPr>
      </w:pPr>
      <w:r>
        <w:t xml:space="preserve">Экономическое преимущество может быть усилено/ослаблено потребительскими предпочтениями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Практическое значение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Для Фирмы 2: необходимо компенсировать социальный фактор через:</w:t>
      </w:r>
    </w:p>
    <w:p>
      <w:pPr>
        <w:pStyle w:val="Compact"/>
        <w:numPr>
          <w:ilvl w:val="2"/>
          <w:numId w:val="1013"/>
        </w:numPr>
      </w:pPr>
      <w:r>
        <w:t xml:space="preserve">Улучшение качества продукции</w:t>
      </w:r>
    </w:p>
    <w:p>
      <w:pPr>
        <w:pStyle w:val="Compact"/>
        <w:numPr>
          <w:ilvl w:val="2"/>
          <w:numId w:val="1013"/>
        </w:numPr>
      </w:pPr>
      <w:r>
        <w:t xml:space="preserve">Маркетинговые кампании</w:t>
      </w:r>
    </w:p>
    <w:p>
      <w:pPr>
        <w:pStyle w:val="Compact"/>
        <w:numPr>
          <w:ilvl w:val="1"/>
          <w:numId w:val="1012"/>
        </w:numPr>
      </w:pPr>
      <w:r>
        <w:t xml:space="preserve">Для Фирмы 1: важно закрепить полученное преимущество через:</w:t>
      </w:r>
    </w:p>
    <w:p>
      <w:pPr>
        <w:pStyle w:val="Compact"/>
        <w:numPr>
          <w:ilvl w:val="2"/>
          <w:numId w:val="1014"/>
        </w:numPr>
      </w:pPr>
      <w:r>
        <w:t xml:space="preserve">Программы лояльности</w:t>
      </w:r>
    </w:p>
    <w:p>
      <w:pPr>
        <w:pStyle w:val="Compact"/>
        <w:numPr>
          <w:ilvl w:val="2"/>
          <w:numId w:val="1014"/>
        </w:numPr>
      </w:pPr>
      <w:r>
        <w:t xml:space="preserve">Поддержание ценового лидерства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Ограничения модели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Реальные рынки могут демонстрировать более сложную динамику</w:t>
      </w:r>
    </w:p>
    <w:p>
      <w:pPr>
        <w:pStyle w:val="Compact"/>
        <w:numPr>
          <w:ilvl w:val="1"/>
          <w:numId w:val="1015"/>
        </w:numPr>
      </w:pPr>
      <w:r>
        <w:t xml:space="preserve">Не учтены возможности адаптации конкурента (изменение себестоимости в процессе)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Хватов Максим Григорьевич</dc:creator>
  <dc:language>ru-RU</dc:language>
  <cp:keywords/>
  <dcterms:created xsi:type="dcterms:W3CDTF">2025-04-14T08:49:23Z</dcterms:created>
  <dcterms:modified xsi:type="dcterms:W3CDTF">2025-04-14T08:49:23Z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 (Вариант 45)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