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C7CED" w14:textId="77777777" w:rsidR="00CA6529" w:rsidRPr="000E1916" w:rsidRDefault="00CA6529" w:rsidP="00CA6529">
      <w:pPr>
        <w:jc w:val="center"/>
        <w:rPr>
          <w:rFonts w:ascii="Times New Roman" w:hAnsi="Times New Roman" w:cs="Times New Roman"/>
          <w:b/>
          <w:bCs/>
          <w:sz w:val="32"/>
          <w:szCs w:val="32"/>
          <w:u w:val="single"/>
        </w:rPr>
      </w:pPr>
      <w:r w:rsidRPr="000E1916">
        <w:rPr>
          <w:rFonts w:ascii="Times New Roman" w:hAnsi="Times New Roman" w:cs="Times New Roman"/>
          <w:b/>
          <w:bCs/>
          <w:sz w:val="32"/>
          <w:szCs w:val="32"/>
          <w:u w:val="single"/>
        </w:rPr>
        <w:t>REVOCATION OF PROXY</w:t>
      </w:r>
    </w:p>
    <w:p w14:paraId="21117E8B" w14:textId="5FF45BA3" w:rsidR="00CA6529" w:rsidRDefault="00CA6529" w:rsidP="00CA6529">
      <w:pPr>
        <w:jc w:val="center"/>
        <w:rPr>
          <w:rFonts w:ascii="Times New Roman" w:hAnsi="Times New Roman" w:cs="Times New Roman"/>
          <w:b/>
          <w:bCs/>
          <w:sz w:val="28"/>
          <w:szCs w:val="28"/>
          <w:u w:val="single"/>
        </w:rPr>
      </w:pPr>
      <w:r w:rsidRPr="00CA6529">
        <w:rPr>
          <w:rFonts w:ascii="Times New Roman" w:hAnsi="Times New Roman" w:cs="Times New Roman"/>
          <w:b/>
          <w:bCs/>
          <w:sz w:val="28"/>
          <w:szCs w:val="28"/>
          <w:u w:val="single"/>
        </w:rPr>
        <w:t>[COMPANY NAME]</w:t>
      </w:r>
    </w:p>
    <w:p w14:paraId="3C6C6F3B" w14:textId="77777777" w:rsidR="000E1916" w:rsidRPr="00CA6529" w:rsidRDefault="000E1916" w:rsidP="00CA6529">
      <w:pPr>
        <w:jc w:val="center"/>
        <w:rPr>
          <w:rFonts w:ascii="Times New Roman" w:hAnsi="Times New Roman" w:cs="Times New Roman"/>
          <w:b/>
          <w:bCs/>
          <w:sz w:val="28"/>
          <w:szCs w:val="28"/>
          <w:u w:val="single"/>
        </w:rPr>
      </w:pPr>
    </w:p>
    <w:p w14:paraId="79496F20" w14:textId="11391E02" w:rsidR="000E1916"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The undersigned, as owner of the securities of [Name of corporation] described below, hereby revokes any and all proxies and substitutions of proxies, including the proxy executed on [Date], naming [Name] as proxy, and further revokes any and all authority heretofore given to any person or persons to attend meetings, vote, consent, or otherwise act on behalf of the undersigned in any manner whatsoever with respect to such securities.</w:t>
      </w:r>
    </w:p>
    <w:p w14:paraId="10DBACCC"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 xml:space="preserve">1. </w:t>
      </w:r>
      <w:r w:rsidRPr="00CA6529">
        <w:rPr>
          <w:rFonts w:ascii="Times New Roman" w:hAnsi="Times New Roman" w:cs="Times New Roman"/>
          <w:b/>
          <w:bCs/>
          <w:sz w:val="24"/>
          <w:szCs w:val="24"/>
          <w:u w:val="single"/>
        </w:rPr>
        <w:t>Revocation of Prox</w:t>
      </w:r>
      <w:r w:rsidRPr="00CA6529">
        <w:rPr>
          <w:rFonts w:ascii="Times New Roman" w:hAnsi="Times New Roman" w:cs="Times New Roman"/>
          <w:b/>
          <w:bCs/>
          <w:sz w:val="24"/>
          <w:szCs w:val="24"/>
          <w:u w:val="single"/>
        </w:rPr>
        <w:t>y</w:t>
      </w:r>
      <w:r w:rsidRPr="00CA6529">
        <w:rPr>
          <w:rFonts w:ascii="Times New Roman" w:hAnsi="Times New Roman" w:cs="Times New Roman"/>
          <w:b/>
          <w:bCs/>
          <w:sz w:val="24"/>
          <w:szCs w:val="24"/>
          <w:u w:val="single"/>
        </w:rPr>
        <w:t xml:space="preserve">. </w:t>
      </w:r>
    </w:p>
    <w:p w14:paraId="2E07D836" w14:textId="500F19D6"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 xml:space="preserve">Stockholder hereby revokes any and all previous proxies with respect to the </w:t>
      </w:r>
      <w:r w:rsidR="000E1916" w:rsidRPr="00CA6529">
        <w:rPr>
          <w:rFonts w:ascii="Times New Roman" w:hAnsi="Times New Roman" w:cs="Times New Roman"/>
          <w:sz w:val="20"/>
          <w:szCs w:val="20"/>
        </w:rPr>
        <w:t>Stockholder’s Securities</w:t>
      </w:r>
      <w:r w:rsidRPr="00CA6529">
        <w:rPr>
          <w:rFonts w:ascii="Times New Roman" w:hAnsi="Times New Roman" w:cs="Times New Roman"/>
          <w:sz w:val="20"/>
          <w:szCs w:val="20"/>
        </w:rPr>
        <w:t>. Stockholder agrees to attend, in person or by proxy, any meeting of the stockholders of  called pursuant to the Merger Agreement to vote upon approval and adoption of the Merger Agreement, and to vote upon approval and adoption of the Merger Agreement, and to vote such Stockholder's  Securities and any voting securities of  hereafter issued in exchange therefor or in respect thereof for approval and adoption of the Merger Agreement and in favor of any other matters that are intended to facilitate and implement the Merger submitted for the vote of the stockholders of  at such meeting, or at any adjournment or adjournments thereof, pursuant to the Merger Agreement. Notwithstanding the foregoing, effective upon the execution and delivery of this Agreement, Stockholder appoints John A. Harwood and Bradley O. Greene, and each of them, with full power of substitution in each, as proxies, solely (a) to vote such Stockholder's  Securities at any meeting of stockholders of  or any adjournment or adjournments thereof, or (b) to give a consent with respect to such Stockholder's  Securities, in each case in favor of approval and adoption of the Merger Agreement and any other matters that are intended to facilitate and implement the Merger (other than the election of directors of ) and against the approval of any proposals (other than elections of directors of ) relating to an acquisition of control of  or all or any substantial part of its business, assets or capital stock in a transaction outside the ordinary course of business by any person or entity other than BellSouth or BellSouth Sub or an affiliate of BellSouth or BellSouth Sub. Notwithstanding anything to the contrary contained herein, this proxy shall not extend to matters other than those specifically enumerated and shall not be deemed a limitation on the ability of Stockholder, in its capacity as a member of the Board of Directors.</w:t>
      </w:r>
    </w:p>
    <w:p w14:paraId="4569B158"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 xml:space="preserve">2. </w:t>
      </w:r>
      <w:r w:rsidRPr="00CA6529">
        <w:rPr>
          <w:rFonts w:ascii="Times New Roman" w:hAnsi="Times New Roman" w:cs="Times New Roman"/>
          <w:b/>
          <w:bCs/>
          <w:sz w:val="24"/>
          <w:szCs w:val="24"/>
          <w:u w:val="single"/>
        </w:rPr>
        <w:t xml:space="preserve">Transfer of the Shares. </w:t>
      </w:r>
    </w:p>
    <w:p w14:paraId="530CCB56" w14:textId="3A3671A1"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Prior to the termination of this Agreement, except as otherwise provided or permitted herein, the Shareholder agrees not to: (a) Transfer any of the Shares or any right or interest therein; (b) enter into any contract, option or other agreement, arrangement or understanding with respect to any Transfer of Shares; (c) grant any proxy, power-of-attorney or other authorization for any of the Shares with respect to any matters; (d) deposit any of the Shares into a voting trust, or enter into a voting agreement or arrangement with respect to any of the Shares with respect to any matters; or (e) take any other action that is intended to restrict, limit or interfere with the performance of such Shareholder’s obligations hereunder or the transactions contemplated hereby.</w:t>
      </w:r>
    </w:p>
    <w:p w14:paraId="0A60984A"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lastRenderedPageBreak/>
        <w:t xml:space="preserve">3. </w:t>
      </w:r>
      <w:r w:rsidRPr="00CA6529">
        <w:rPr>
          <w:rFonts w:ascii="Times New Roman" w:hAnsi="Times New Roman" w:cs="Times New Roman"/>
          <w:b/>
          <w:bCs/>
          <w:sz w:val="24"/>
          <w:szCs w:val="24"/>
          <w:u w:val="single"/>
        </w:rPr>
        <w:t xml:space="preserve">Transfer of Subject Securities. </w:t>
      </w:r>
    </w:p>
    <w:p w14:paraId="6689416A" w14:textId="78CFF641"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Except as expressly contemplated by the Business Combination Agreement or with the prior written consent of JAWS (such consent to be given or withheld in its sole discretion), from and after the date hereof, the Supporting Seller Unitholder agrees not to (a) Transfer any of the Subject Seller Units, (b) enter into (</w:t>
      </w:r>
      <w:r w:rsidR="000E1916" w:rsidRPr="00CA6529">
        <w:rPr>
          <w:rFonts w:ascii="Times New Roman" w:hAnsi="Times New Roman" w:cs="Times New Roman"/>
          <w:sz w:val="20"/>
          <w:szCs w:val="20"/>
        </w:rPr>
        <w:t>I</w:t>
      </w:r>
      <w:r w:rsidRPr="00CA6529">
        <w:rPr>
          <w:rFonts w:ascii="Times New Roman" w:hAnsi="Times New Roman" w:cs="Times New Roman"/>
          <w:sz w:val="20"/>
          <w:szCs w:val="20"/>
        </w:rPr>
        <w:t>) any option, warrant, purchase right, or other Contract that would (either alone or in connection with one or more events, developments or events (including the satisfaction or waiver of any conditions precedent)) require the Supporting Seller Unitholder to Transfer the Subject Seller Units or (ii) any voting trust, proxy or other Contract with respect to the voting or Transfer of the Subject Seller Units, or (c) take any actions in furtherance of any of the matters described in the foregoing clauses (a) or (b). For purposes of this Agreement, “Transfer” means any, direct or indirect, sale, transfer, assignment, pledge, mortgage, exchange, hypothecation, grant of a security interest in or disposition or encumbrance of an interest (whether with or without consideration, whether voluntarily or involuntarily or by operation of law or otherwise).</w:t>
      </w:r>
    </w:p>
    <w:p w14:paraId="0E11E14A"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 xml:space="preserve">4. </w:t>
      </w:r>
      <w:r w:rsidRPr="00CA6529">
        <w:rPr>
          <w:rFonts w:ascii="Times New Roman" w:hAnsi="Times New Roman" w:cs="Times New Roman"/>
          <w:b/>
          <w:bCs/>
          <w:sz w:val="24"/>
          <w:szCs w:val="24"/>
          <w:u w:val="single"/>
        </w:rPr>
        <w:t xml:space="preserve">Revocation and Effect of Consent. </w:t>
      </w:r>
    </w:p>
    <w:p w14:paraId="56A26DEC" w14:textId="48DA8C2B"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Until an amendment or waiver becomes effective, a consent to it by a Holder is a continuing consent by the Holder and every subsequent Holder of a Security or portion of a Security that evidences the same debt as the Security of the consenting Holder, even if notation of the consent is not made on any Security. However, any such Holder or subsequent Holder may revoke the consent as to its Security or portion of its Security. Such revocation shall be effective only if the Trustee receives the notice of revocation before the date the amendment, supplement or waiver becomes effective. An amendment, supplement or waiver shall become effective with respect to any Securities affected thereby on receipt by the Trustee of written consents from the requisite Holders of outstanding Securities affected thereby. The Company may, but shall not be obligated to, fix a record date (which may be not less than five nor more than 60 days prior to the solicitation of consents) for the purpose of determining the Holders of the Securities of any series affected entitled to consent to any amendment, supplement or waiver. If a record date is fixed, then, notwithstanding the immediately preceding paragraph, those Persons who were such Holders at such record date (or their duly designated proxies) and only those Persons shall be entitled to consent to such amendment, supplement or waiver or to revoke any consent previously given, whether or not such Persons continue to be such Holders after such record date. No such consent shall be valid or effective for more than 90 days after such record date. After an amendment, supplement or waiver becomes effective with respect to the Securities of any series affected thereby, it shall bind every Holder of such Securities</w:t>
      </w:r>
      <w:r w:rsidR="000E1916">
        <w:rPr>
          <w:rFonts w:ascii="Times New Roman" w:hAnsi="Times New Roman" w:cs="Times New Roman"/>
          <w:sz w:val="20"/>
          <w:szCs w:val="20"/>
        </w:rPr>
        <w:t xml:space="preserve">. </w:t>
      </w:r>
    </w:p>
    <w:p w14:paraId="1F5E9CA7"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 xml:space="preserve">5. </w:t>
      </w:r>
      <w:r w:rsidRPr="00CA6529">
        <w:rPr>
          <w:rFonts w:ascii="Times New Roman" w:hAnsi="Times New Roman" w:cs="Times New Roman"/>
          <w:b/>
          <w:bCs/>
          <w:sz w:val="24"/>
          <w:szCs w:val="24"/>
          <w:u w:val="single"/>
        </w:rPr>
        <w:t xml:space="preserve">Validity of proxy votes. </w:t>
      </w:r>
    </w:p>
    <w:p w14:paraId="1907046A" w14:textId="0BAC7A9A"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A vote given in accordance with the terms of a proxy is valid despite the death or incapacity of the shareholder giving the proxy and despite the revocation of the proxy or the revocation of the authority under which the proxy is given, unless notice in writing of that death, incapacity or revocation is received.</w:t>
      </w:r>
    </w:p>
    <w:p w14:paraId="38CAC569" w14:textId="77777777" w:rsidR="000E1916" w:rsidRDefault="000E1916" w:rsidP="00CA6529">
      <w:pPr>
        <w:jc w:val="both"/>
        <w:rPr>
          <w:rFonts w:ascii="Times New Roman" w:hAnsi="Times New Roman" w:cs="Times New Roman"/>
          <w:b/>
          <w:bCs/>
          <w:sz w:val="24"/>
          <w:szCs w:val="24"/>
          <w:u w:val="single"/>
        </w:rPr>
      </w:pPr>
    </w:p>
    <w:p w14:paraId="76B1D63A" w14:textId="77777777" w:rsidR="000E1916" w:rsidRDefault="000E1916" w:rsidP="00CA6529">
      <w:pPr>
        <w:jc w:val="both"/>
        <w:rPr>
          <w:rFonts w:ascii="Times New Roman" w:hAnsi="Times New Roman" w:cs="Times New Roman"/>
          <w:b/>
          <w:bCs/>
          <w:sz w:val="24"/>
          <w:szCs w:val="24"/>
          <w:u w:val="single"/>
        </w:rPr>
      </w:pPr>
    </w:p>
    <w:p w14:paraId="4E00F5DD" w14:textId="56041BF8"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lastRenderedPageBreak/>
        <w:t xml:space="preserve">6. </w:t>
      </w:r>
      <w:r w:rsidRPr="00CA6529">
        <w:rPr>
          <w:rFonts w:ascii="Times New Roman" w:hAnsi="Times New Roman" w:cs="Times New Roman"/>
          <w:b/>
          <w:bCs/>
          <w:sz w:val="24"/>
          <w:szCs w:val="24"/>
          <w:u w:val="single"/>
        </w:rPr>
        <w:t>Contract Obligations</w:t>
      </w:r>
      <w:r w:rsidRPr="00CA6529">
        <w:rPr>
          <w:rFonts w:ascii="Times New Roman" w:hAnsi="Times New Roman" w:cs="Times New Roman"/>
          <w:b/>
          <w:bCs/>
          <w:sz w:val="24"/>
          <w:szCs w:val="24"/>
          <w:u w:val="single"/>
        </w:rPr>
        <w:t>.</w:t>
      </w:r>
    </w:p>
    <w:p w14:paraId="72E827CE" w14:textId="4A826E90"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A</w:t>
      </w:r>
      <w:r w:rsidRPr="00CA6529">
        <w:rPr>
          <w:rFonts w:ascii="Times New Roman" w:hAnsi="Times New Roman" w:cs="Times New Roman"/>
          <w:sz w:val="20"/>
          <w:szCs w:val="20"/>
        </w:rPr>
        <w:t>ll contractual obligations of a Pledgor under the Call Option Agreement and Proxy Agreement; all contractual obligations of a Target Company under the Exclusive Service Agreement, Call Option Agreement, Proxy Agreement; and all contractual obligations of a Pledgor under this Agreement.</w:t>
      </w:r>
    </w:p>
    <w:p w14:paraId="2A00BBED"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7. T</w:t>
      </w:r>
      <w:r w:rsidRPr="00CA6529">
        <w:rPr>
          <w:rFonts w:ascii="Times New Roman" w:hAnsi="Times New Roman" w:cs="Times New Roman"/>
          <w:b/>
          <w:bCs/>
          <w:sz w:val="24"/>
          <w:szCs w:val="24"/>
          <w:u w:val="single"/>
        </w:rPr>
        <w:t xml:space="preserve">ermination. </w:t>
      </w:r>
    </w:p>
    <w:p w14:paraId="7BB063CB" w14:textId="2002E465"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Notwithstanding any provision of this Proxy Agreement to the contrary, this Proxy Agreement shall terminate and be of no further force or effect upon the later of (a) the consummation of an underwritten public offering of the Corporation’s capital stock, (b) in the event that a Disqualification Event shall have occurred prior to the occurrence of a Succession Event, the occurrence of such Succession Event, (c) in the event that a Disqualification Event shall have not occurred prior to the occurrence of a Succession Event, the occurrence of the immediately following Succession Event with respect to the Subsequent Proxyholder in his capacity as “Proxyholder” hereunder, and (d) the simultaneous or near simultaneous occurrence of a Disqualification Event and Succession Event. Prior to any such termination, this Proxy Agreement, and the proxy granted herein, shall remain in effect and may be exercised by Proxyholder.</w:t>
      </w:r>
    </w:p>
    <w:p w14:paraId="6B4FA15C"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 xml:space="preserve">8. </w:t>
      </w:r>
      <w:r w:rsidRPr="00CA6529">
        <w:rPr>
          <w:rFonts w:ascii="Times New Roman" w:hAnsi="Times New Roman" w:cs="Times New Roman"/>
          <w:b/>
          <w:bCs/>
          <w:sz w:val="24"/>
          <w:szCs w:val="24"/>
          <w:u w:val="single"/>
        </w:rPr>
        <w:t xml:space="preserve">Specific Performance. </w:t>
      </w:r>
    </w:p>
    <w:p w14:paraId="08D85A0A" w14:textId="68EE45F3"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It is agreed and understood that monetary damages would not adequately compensate an injured party for the breach of this Proxy Agreement by any party, that this Proxy Agreement shall be specifically enforceable, and that any breach or threatened breach of this Proxy Agreement shall be the proper subject of a temporary or permanent injunction or restraining order. Further, each Party hereto waives any claim or defense that there is an adequate remedy at law for such breach or threatened breach.</w:t>
      </w:r>
    </w:p>
    <w:p w14:paraId="1972A439"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 xml:space="preserve">9. </w:t>
      </w:r>
      <w:r w:rsidRPr="00CA6529">
        <w:rPr>
          <w:rFonts w:ascii="Times New Roman" w:hAnsi="Times New Roman" w:cs="Times New Roman"/>
          <w:b/>
          <w:bCs/>
          <w:sz w:val="24"/>
          <w:szCs w:val="24"/>
          <w:u w:val="single"/>
        </w:rPr>
        <w:t>Successors and Assigns</w:t>
      </w:r>
      <w:r w:rsidRPr="00CA6529">
        <w:rPr>
          <w:rFonts w:ascii="Times New Roman" w:hAnsi="Times New Roman" w:cs="Times New Roman"/>
          <w:b/>
          <w:bCs/>
          <w:sz w:val="24"/>
          <w:szCs w:val="24"/>
          <w:u w:val="single"/>
        </w:rPr>
        <w:t>.</w:t>
      </w:r>
    </w:p>
    <w:p w14:paraId="17FE6681" w14:textId="5E12EF2E"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No Third-Party Beneficiaries. The provisions of this Agreement shall be binding upon and inure to the benefit of the parties hereto and their respective successors and permitted assigns; provided that no party may assign, delegate or otherwise transfer any of its rights or obligations under this Agreement without the consent of the other parties hereto. Nothing in this Agreement, express or implied, is intended to or shall confer upon any other person any rights, benefits or remedies of any nature whatsoever under or by reason of this Agreement.</w:t>
      </w:r>
    </w:p>
    <w:p w14:paraId="291BBC20" w14:textId="7777777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 xml:space="preserve">10. </w:t>
      </w:r>
      <w:r w:rsidRPr="00CA6529">
        <w:rPr>
          <w:rFonts w:ascii="Times New Roman" w:hAnsi="Times New Roman" w:cs="Times New Roman"/>
          <w:b/>
          <w:bCs/>
          <w:sz w:val="24"/>
          <w:szCs w:val="24"/>
          <w:u w:val="single"/>
        </w:rPr>
        <w:t xml:space="preserve">Attorneys’ Fees. </w:t>
      </w:r>
    </w:p>
    <w:p w14:paraId="280CE477"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If any legal action or any arbitration or other proceeding is brought for the enforcement of this Agreement, or because of an alleged dispute, breach, default, or misrepresentation in connection with any of the provisions of this Agreement, the successful or prevailing party or parties will be entitled to recover reasonable attorneys’ fees and other costs incurred in that action or proceeding, in addition to any other relief to which it or they may be entitled.</w:t>
      </w:r>
    </w:p>
    <w:p w14:paraId="11A57A58" w14:textId="67DB03EC"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11</w:t>
      </w:r>
      <w:r w:rsidRPr="00CA6529">
        <w:rPr>
          <w:rFonts w:ascii="Times New Roman" w:hAnsi="Times New Roman" w:cs="Times New Roman"/>
          <w:b/>
          <w:bCs/>
          <w:sz w:val="24"/>
          <w:szCs w:val="24"/>
          <w:u w:val="single"/>
        </w:rPr>
        <w:t>. Survival of Covenants.</w:t>
      </w:r>
    </w:p>
    <w:p w14:paraId="14533A48"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 xml:space="preserve">All covenants, representations and warranties made herein shall survive the making of this Agreement and shall continue in full force and effect from the date of signing of this Agreement, at </w:t>
      </w:r>
      <w:r w:rsidRPr="00CA6529">
        <w:rPr>
          <w:rFonts w:ascii="Times New Roman" w:hAnsi="Times New Roman" w:cs="Times New Roman"/>
          <w:sz w:val="20"/>
          <w:szCs w:val="20"/>
        </w:rPr>
        <w:lastRenderedPageBreak/>
        <w:t>the end of which period no claim may be made with respect to any such covenant, representation, or warranty unless such claim shall have been asserted in writing to the indemnifying party during such period.</w:t>
      </w:r>
    </w:p>
    <w:p w14:paraId="57EF8FBE" w14:textId="0F23C37B"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12</w:t>
      </w:r>
      <w:r w:rsidRPr="00CA6529">
        <w:rPr>
          <w:rFonts w:ascii="Times New Roman" w:hAnsi="Times New Roman" w:cs="Times New Roman"/>
          <w:b/>
          <w:bCs/>
          <w:sz w:val="24"/>
          <w:szCs w:val="24"/>
          <w:u w:val="single"/>
        </w:rPr>
        <w:t xml:space="preserve">. No Publicity. </w:t>
      </w:r>
    </w:p>
    <w:p w14:paraId="1C6A5B55"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373E8BDE" w14:textId="63EB2166"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13</w:t>
      </w:r>
      <w:r w:rsidRPr="00CA6529">
        <w:rPr>
          <w:rFonts w:ascii="Times New Roman" w:hAnsi="Times New Roman" w:cs="Times New Roman"/>
          <w:b/>
          <w:bCs/>
          <w:sz w:val="24"/>
          <w:szCs w:val="24"/>
          <w:u w:val="single"/>
        </w:rPr>
        <w:t xml:space="preserve">. Notices. </w:t>
      </w:r>
    </w:p>
    <w:p w14:paraId="7588A221"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15C0CE11" w14:textId="518E44C5"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14</w:t>
      </w:r>
      <w:r w:rsidRPr="00CA6529">
        <w:rPr>
          <w:rFonts w:ascii="Times New Roman" w:hAnsi="Times New Roman" w:cs="Times New Roman"/>
          <w:b/>
          <w:bCs/>
          <w:sz w:val="24"/>
          <w:szCs w:val="24"/>
          <w:u w:val="single"/>
        </w:rPr>
        <w:t xml:space="preserve">. No Waiver. </w:t>
      </w:r>
    </w:p>
    <w:p w14:paraId="20AE223E"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4D4E55A0" w14:textId="6E1CA986"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15</w:t>
      </w:r>
      <w:r w:rsidRPr="00CA6529">
        <w:rPr>
          <w:rFonts w:ascii="Times New Roman" w:hAnsi="Times New Roman" w:cs="Times New Roman"/>
          <w:b/>
          <w:bCs/>
          <w:sz w:val="24"/>
          <w:szCs w:val="24"/>
          <w:u w:val="single"/>
        </w:rPr>
        <w:t>. No Warranty.</w:t>
      </w:r>
    </w:p>
    <w:p w14:paraId="5137C1ED"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Confidential Information is provided “as is” with all faults. In no event shall parties be liable for the accuracy or completeness of the Confidential Information. </w:t>
      </w:r>
    </w:p>
    <w:p w14:paraId="63178307" w14:textId="649CDE21"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16</w:t>
      </w:r>
      <w:r w:rsidRPr="00CA6529">
        <w:rPr>
          <w:rFonts w:ascii="Times New Roman" w:hAnsi="Times New Roman" w:cs="Times New Roman"/>
          <w:b/>
          <w:bCs/>
          <w:sz w:val="24"/>
          <w:szCs w:val="24"/>
          <w:u w:val="single"/>
        </w:rPr>
        <w:t xml:space="preserve">. Entirety of Agreement. </w:t>
      </w:r>
    </w:p>
    <w:p w14:paraId="180A8CE5"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67CBEF80" w14:textId="7DA9687F"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17</w:t>
      </w:r>
      <w:r w:rsidRPr="00CA6529">
        <w:rPr>
          <w:rFonts w:ascii="Times New Roman" w:hAnsi="Times New Roman" w:cs="Times New Roman"/>
          <w:b/>
          <w:bCs/>
          <w:sz w:val="24"/>
          <w:szCs w:val="24"/>
          <w:u w:val="single"/>
        </w:rPr>
        <w:t xml:space="preserve">. Use of The Confidential Information. </w:t>
      </w:r>
    </w:p>
    <w:p w14:paraId="15AFF830"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w:t>
      </w:r>
      <w:r w:rsidRPr="00CA6529">
        <w:rPr>
          <w:rFonts w:ascii="Times New Roman" w:hAnsi="Times New Roman" w:cs="Times New Roman"/>
          <w:sz w:val="20"/>
          <w:szCs w:val="20"/>
        </w:rPr>
        <w:lastRenderedPageBreak/>
        <w:t xml:space="preserve">time shall the recipient party otherwise use the Confidential Information for the benefit of itself or any other third party or in any manner adverse to, or to the detriment of, the disclosing party. </w:t>
      </w:r>
    </w:p>
    <w:p w14:paraId="1AD1187D" w14:textId="5AC72BFB"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18</w:t>
      </w:r>
      <w:r w:rsidRPr="00CA6529">
        <w:rPr>
          <w:rFonts w:ascii="Times New Roman" w:hAnsi="Times New Roman" w:cs="Times New Roman"/>
          <w:b/>
          <w:bCs/>
          <w:sz w:val="24"/>
          <w:szCs w:val="24"/>
          <w:u w:val="single"/>
        </w:rPr>
        <w:t xml:space="preserve">. Governing Law and Jurisdiction. </w:t>
      </w:r>
    </w:p>
    <w:p w14:paraId="62A53F16"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w:t>
      </w:r>
    </w:p>
    <w:p w14:paraId="78721A5C" w14:textId="4DB4C8C7" w:rsidR="00CA6529" w:rsidRPr="00CA6529" w:rsidRDefault="00CA6529" w:rsidP="00CA6529">
      <w:pPr>
        <w:jc w:val="both"/>
        <w:rPr>
          <w:rFonts w:ascii="Times New Roman" w:hAnsi="Times New Roman" w:cs="Times New Roman"/>
          <w:b/>
          <w:bCs/>
          <w:sz w:val="24"/>
          <w:szCs w:val="24"/>
          <w:u w:val="single"/>
        </w:rPr>
      </w:pPr>
      <w:r w:rsidRPr="00CA6529">
        <w:rPr>
          <w:rFonts w:ascii="Times New Roman" w:hAnsi="Times New Roman" w:cs="Times New Roman"/>
          <w:b/>
          <w:bCs/>
          <w:sz w:val="24"/>
          <w:szCs w:val="24"/>
          <w:u w:val="single"/>
        </w:rPr>
        <w:t>19</w:t>
      </w:r>
      <w:r w:rsidRPr="00CA6529">
        <w:rPr>
          <w:rFonts w:ascii="Times New Roman" w:hAnsi="Times New Roman" w:cs="Times New Roman"/>
          <w:b/>
          <w:bCs/>
          <w:sz w:val="24"/>
          <w:szCs w:val="24"/>
          <w:u w:val="single"/>
        </w:rPr>
        <w:t xml:space="preserve">. Counterparts. </w:t>
      </w:r>
    </w:p>
    <w:p w14:paraId="4C6A46CA"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242A8788" w14:textId="77777777" w:rsidR="00CA6529" w:rsidRPr="00CA6529" w:rsidRDefault="00CA6529" w:rsidP="00CA6529">
      <w:pPr>
        <w:jc w:val="both"/>
        <w:rPr>
          <w:rFonts w:ascii="Times New Roman" w:hAnsi="Times New Roman" w:cs="Times New Roman"/>
          <w:sz w:val="20"/>
          <w:szCs w:val="20"/>
        </w:rPr>
      </w:pPr>
    </w:p>
    <w:p w14:paraId="0E9E1F36" w14:textId="11EB323E" w:rsidR="00CA6529" w:rsidRPr="00CA6529" w:rsidRDefault="000E1916" w:rsidP="00CA6529">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06F33052" wp14:editId="5305E701">
                <wp:simplePos x="0" y="0"/>
                <wp:positionH relativeFrom="margin">
                  <wp:align>left</wp:align>
                </wp:positionH>
                <wp:positionV relativeFrom="paragraph">
                  <wp:posOffset>14333</wp:posOffset>
                </wp:positionV>
                <wp:extent cx="5039541" cy="5443"/>
                <wp:effectExtent l="0" t="0" r="27940" b="33020"/>
                <wp:wrapNone/>
                <wp:docPr id="1" name="Straight Connector 1"/>
                <wp:cNvGraphicFramePr/>
                <a:graphic xmlns:a="http://schemas.openxmlformats.org/drawingml/2006/main">
                  <a:graphicData uri="http://schemas.microsoft.com/office/word/2010/wordprocessingShape">
                    <wps:wsp>
                      <wps:cNvCnPr/>
                      <wps:spPr>
                        <a:xfrm>
                          <a:off x="0" y="0"/>
                          <a:ext cx="5039541"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56BC4C"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5pt" to="396.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" strokecolor="black [3200]" strokeweight=".5pt">
                <v:stroke joinstyle="miter"/>
                <w10:wrap anchorx="margin"/>
              </v:line>
            </w:pict>
          </mc:Fallback>
        </mc:AlternateContent>
      </w:r>
    </w:p>
    <w:p w14:paraId="632013EF" w14:textId="2B87575B" w:rsidR="00CA6529" w:rsidRPr="000E1916" w:rsidRDefault="00CA6529" w:rsidP="000E1916">
      <w:pPr>
        <w:jc w:val="center"/>
        <w:rPr>
          <w:rFonts w:ascii="Times New Roman" w:hAnsi="Times New Roman" w:cs="Times New Roman"/>
          <w:b/>
          <w:bCs/>
          <w:u w:val="single"/>
        </w:rPr>
      </w:pPr>
      <w:r w:rsidRPr="000E1916">
        <w:rPr>
          <w:rFonts w:ascii="Times New Roman" w:hAnsi="Times New Roman" w:cs="Times New Roman"/>
          <w:b/>
          <w:bCs/>
          <w:u w:val="single"/>
        </w:rPr>
        <w:t>[THE REST OF THIS PAGE HAS BEEN LEFT BLANK INTENTIONALLY]</w:t>
      </w:r>
    </w:p>
    <w:p w14:paraId="022F0877" w14:textId="61647EDE" w:rsidR="00CA6529" w:rsidRPr="00CA6529" w:rsidRDefault="00CA6529" w:rsidP="00CA6529">
      <w:pPr>
        <w:jc w:val="both"/>
        <w:rPr>
          <w:rFonts w:ascii="Times New Roman" w:hAnsi="Times New Roman" w:cs="Times New Roman"/>
          <w:sz w:val="20"/>
          <w:szCs w:val="20"/>
        </w:rPr>
      </w:pPr>
    </w:p>
    <w:p w14:paraId="6763E8FC" w14:textId="7EEDF052"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br w:type="page"/>
      </w:r>
    </w:p>
    <w:p w14:paraId="2D15F62A" w14:textId="2EB1E84F"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Revocation of </w:t>
      </w:r>
      <w:r w:rsidRPr="00CA6529">
        <w:rPr>
          <w:rFonts w:ascii="Times New Roman" w:hAnsi="Times New Roman" w:cs="Times New Roman"/>
          <w:sz w:val="20"/>
          <w:szCs w:val="20"/>
        </w:rPr>
        <w:t>Proxy</w:t>
      </w:r>
      <w:r w:rsidRPr="00CA6529">
        <w:rPr>
          <w:rFonts w:ascii="Times New Roman" w:hAnsi="Times New Roman" w:cs="Times New Roman"/>
          <w:sz w:val="20"/>
          <w:szCs w:val="20"/>
        </w:rPr>
        <w:t>, both Parties by its duly authorized officer.</w:t>
      </w:r>
    </w:p>
    <w:p w14:paraId="3E9163A1" w14:textId="77777777" w:rsidR="00CA6529" w:rsidRPr="00CA6529" w:rsidRDefault="00CA6529" w:rsidP="00CA6529">
      <w:pPr>
        <w:jc w:val="both"/>
        <w:rPr>
          <w:rFonts w:ascii="Times New Roman" w:hAnsi="Times New Roman" w:cs="Times New Roman"/>
          <w:sz w:val="20"/>
          <w:szCs w:val="20"/>
        </w:rPr>
      </w:pPr>
    </w:p>
    <w:p w14:paraId="6AA7DE12"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_________________________</w:t>
      </w:r>
      <w:r w:rsidRPr="00CA6529">
        <w:rPr>
          <w:rFonts w:ascii="Times New Roman" w:hAnsi="Times New Roman" w:cs="Times New Roman"/>
          <w:sz w:val="20"/>
          <w:szCs w:val="20"/>
        </w:rPr>
        <w:tab/>
      </w:r>
      <w:r w:rsidRPr="00CA6529">
        <w:rPr>
          <w:rFonts w:ascii="Times New Roman" w:hAnsi="Times New Roman" w:cs="Times New Roman"/>
          <w:sz w:val="20"/>
          <w:szCs w:val="20"/>
        </w:rPr>
        <w:tab/>
      </w:r>
      <w:r w:rsidRPr="00CA6529">
        <w:rPr>
          <w:rFonts w:ascii="Times New Roman" w:hAnsi="Times New Roman" w:cs="Times New Roman"/>
          <w:sz w:val="20"/>
          <w:szCs w:val="20"/>
        </w:rPr>
        <w:tab/>
      </w:r>
      <w:r w:rsidRPr="00CA6529">
        <w:rPr>
          <w:rFonts w:ascii="Times New Roman" w:hAnsi="Times New Roman" w:cs="Times New Roman"/>
          <w:sz w:val="20"/>
          <w:szCs w:val="20"/>
        </w:rPr>
        <w:tab/>
        <w:t>_______________________</w:t>
      </w:r>
    </w:p>
    <w:p w14:paraId="44FF366D" w14:textId="4E52954D"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 xml:space="preserve">              </w:t>
      </w:r>
      <w:r w:rsidRPr="00CA6529">
        <w:rPr>
          <w:rFonts w:ascii="Times New Roman" w:hAnsi="Times New Roman" w:cs="Times New Roman"/>
          <w:sz w:val="20"/>
          <w:szCs w:val="20"/>
        </w:rPr>
        <w:t>Name</w:t>
      </w:r>
      <w:r w:rsidRPr="00CA6529">
        <w:rPr>
          <w:rFonts w:ascii="Times New Roman" w:hAnsi="Times New Roman" w:cs="Times New Roman"/>
          <w:sz w:val="20"/>
          <w:szCs w:val="20"/>
        </w:rPr>
        <w:t xml:space="preserve">   </w:t>
      </w:r>
      <w:r w:rsidRPr="00CA6529">
        <w:rPr>
          <w:rFonts w:ascii="Times New Roman" w:hAnsi="Times New Roman" w:cs="Times New Roman"/>
          <w:sz w:val="20"/>
          <w:szCs w:val="20"/>
        </w:rPr>
        <w:tab/>
      </w:r>
      <w:r w:rsidRPr="00CA6529">
        <w:rPr>
          <w:rFonts w:ascii="Times New Roman" w:hAnsi="Times New Roman" w:cs="Times New Roman"/>
          <w:sz w:val="20"/>
          <w:szCs w:val="20"/>
        </w:rPr>
        <w:tab/>
      </w:r>
      <w:r w:rsidRPr="00CA6529">
        <w:rPr>
          <w:rFonts w:ascii="Times New Roman" w:hAnsi="Times New Roman" w:cs="Times New Roman"/>
          <w:sz w:val="20"/>
          <w:szCs w:val="20"/>
        </w:rPr>
        <w:tab/>
      </w:r>
      <w:r w:rsidRPr="00CA6529">
        <w:rPr>
          <w:rFonts w:ascii="Times New Roman" w:hAnsi="Times New Roman" w:cs="Times New Roman"/>
          <w:sz w:val="20"/>
          <w:szCs w:val="20"/>
        </w:rPr>
        <w:tab/>
      </w:r>
      <w:r w:rsidRPr="00CA6529">
        <w:rPr>
          <w:rFonts w:ascii="Times New Roman" w:hAnsi="Times New Roman" w:cs="Times New Roman"/>
          <w:sz w:val="20"/>
          <w:szCs w:val="20"/>
        </w:rPr>
        <w:tab/>
        <w:t xml:space="preserve">                </w:t>
      </w:r>
      <w:r w:rsidRPr="00CA6529">
        <w:rPr>
          <w:rFonts w:ascii="Times New Roman" w:hAnsi="Times New Roman" w:cs="Times New Roman"/>
          <w:sz w:val="20"/>
          <w:szCs w:val="20"/>
        </w:rPr>
        <w:t xml:space="preserve">              </w:t>
      </w:r>
      <w:r w:rsidRPr="00CA6529">
        <w:rPr>
          <w:rFonts w:ascii="Times New Roman" w:hAnsi="Times New Roman" w:cs="Times New Roman"/>
          <w:sz w:val="20"/>
          <w:szCs w:val="20"/>
        </w:rPr>
        <w:t xml:space="preserve">  </w:t>
      </w:r>
      <w:r w:rsidRPr="00CA6529">
        <w:rPr>
          <w:rFonts w:ascii="Times New Roman" w:hAnsi="Times New Roman" w:cs="Times New Roman"/>
          <w:sz w:val="20"/>
          <w:szCs w:val="20"/>
        </w:rPr>
        <w:t>Name</w:t>
      </w:r>
    </w:p>
    <w:p w14:paraId="0DD7BDEE" w14:textId="77777777" w:rsidR="00CA6529" w:rsidRPr="00CA6529" w:rsidRDefault="00CA6529" w:rsidP="00CA6529">
      <w:pPr>
        <w:jc w:val="both"/>
        <w:rPr>
          <w:rFonts w:ascii="Times New Roman" w:hAnsi="Times New Roman" w:cs="Times New Roman"/>
          <w:sz w:val="20"/>
          <w:szCs w:val="20"/>
        </w:rPr>
      </w:pPr>
    </w:p>
    <w:p w14:paraId="289E0E22"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___________________</w:t>
      </w:r>
    </w:p>
    <w:p w14:paraId="5290EA71" w14:textId="77777777"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Date</w:t>
      </w:r>
    </w:p>
    <w:p w14:paraId="1C7EE4D1" w14:textId="77777777" w:rsidR="00CA6529" w:rsidRPr="00CA6529" w:rsidRDefault="00CA6529" w:rsidP="00CA6529">
      <w:pPr>
        <w:jc w:val="both"/>
        <w:rPr>
          <w:rFonts w:ascii="Times New Roman" w:hAnsi="Times New Roman" w:cs="Times New Roman"/>
          <w:sz w:val="20"/>
          <w:szCs w:val="20"/>
        </w:rPr>
      </w:pPr>
    </w:p>
    <w:p w14:paraId="4B1CF1C1" w14:textId="2B568B28" w:rsidR="00CA6529" w:rsidRPr="00CA6529" w:rsidRDefault="000E1916" w:rsidP="00CA6529">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32254D2E" wp14:editId="415610AE">
                <wp:simplePos x="0" y="0"/>
                <wp:positionH relativeFrom="column">
                  <wp:posOffset>-48987</wp:posOffset>
                </wp:positionH>
                <wp:positionV relativeFrom="paragraph">
                  <wp:posOffset>54973</wp:posOffset>
                </wp:positionV>
                <wp:extent cx="5056415" cy="5443"/>
                <wp:effectExtent l="0" t="0" r="30480" b="33020"/>
                <wp:wrapNone/>
                <wp:docPr id="2" name="Straight Connector 2"/>
                <wp:cNvGraphicFramePr/>
                <a:graphic xmlns:a="http://schemas.openxmlformats.org/drawingml/2006/main">
                  <a:graphicData uri="http://schemas.microsoft.com/office/word/2010/wordprocessingShape">
                    <wps:wsp>
                      <wps:cNvCnPr/>
                      <wps:spPr>
                        <a:xfrm flipV="1">
                          <a:off x="0" y="0"/>
                          <a:ext cx="5056415" cy="54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EDA5E2"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85pt,4.35pt" to="394.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" strokecolor="black [3200]" strokeweight=".5pt">
                <v:stroke joinstyle="miter"/>
              </v:line>
            </w:pict>
          </mc:Fallback>
        </mc:AlternateContent>
      </w:r>
    </w:p>
    <w:p w14:paraId="092985C2" w14:textId="30734C0F" w:rsidR="00CA6529" w:rsidRPr="000E1916" w:rsidRDefault="00CA6529" w:rsidP="000E1916">
      <w:pPr>
        <w:jc w:val="center"/>
        <w:rPr>
          <w:rFonts w:ascii="Times New Roman" w:hAnsi="Times New Roman" w:cs="Times New Roman"/>
          <w:b/>
          <w:bCs/>
          <w:u w:val="single"/>
        </w:rPr>
      </w:pPr>
      <w:r w:rsidRPr="000E1916">
        <w:rPr>
          <w:rFonts w:ascii="Times New Roman" w:hAnsi="Times New Roman" w:cs="Times New Roman"/>
          <w:b/>
          <w:bCs/>
          <w:u w:val="single"/>
        </w:rPr>
        <w:t>[THE REST OF THIS PAGE HAS BEEN LEFT BLANK INTENTIONALLY]</w:t>
      </w:r>
    </w:p>
    <w:p w14:paraId="176E94B3" w14:textId="60A9B64D" w:rsidR="00CA6529" w:rsidRPr="00CA6529" w:rsidRDefault="00CA6529" w:rsidP="00CA6529">
      <w:pPr>
        <w:jc w:val="both"/>
        <w:rPr>
          <w:rFonts w:ascii="Times New Roman" w:hAnsi="Times New Roman" w:cs="Times New Roman"/>
          <w:sz w:val="20"/>
          <w:szCs w:val="20"/>
        </w:rPr>
      </w:pPr>
      <w:r w:rsidRPr="00CA6529">
        <w:rPr>
          <w:rFonts w:ascii="Times New Roman" w:hAnsi="Times New Roman" w:cs="Times New Roman"/>
          <w:sz w:val="20"/>
          <w:szCs w:val="20"/>
        </w:rPr>
        <w:t> </w:t>
      </w:r>
    </w:p>
    <w:p w14:paraId="2B7142F4" w14:textId="77777777" w:rsidR="00961CEE" w:rsidRPr="00CA6529" w:rsidRDefault="00750E22" w:rsidP="00CA6529">
      <w:pPr>
        <w:jc w:val="both"/>
        <w:rPr>
          <w:rFonts w:ascii="Times New Roman" w:hAnsi="Times New Roman" w:cs="Times New Roman"/>
          <w:sz w:val="20"/>
          <w:szCs w:val="20"/>
        </w:rPr>
      </w:pPr>
    </w:p>
    <w:sectPr w:rsidR="00961CEE" w:rsidRPr="00CA6529" w:rsidSect="000E1916">
      <w:footerReference w:type="default" r:id="rId6"/>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52C8C" w14:textId="77777777" w:rsidR="00750E22" w:rsidRDefault="00750E22" w:rsidP="000E1916">
      <w:pPr>
        <w:spacing w:after="0" w:line="240" w:lineRule="auto"/>
      </w:pPr>
      <w:r>
        <w:separator/>
      </w:r>
    </w:p>
  </w:endnote>
  <w:endnote w:type="continuationSeparator" w:id="0">
    <w:p w14:paraId="65554FA7" w14:textId="77777777" w:rsidR="00750E22" w:rsidRDefault="00750E22" w:rsidP="000E1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7950258"/>
      <w:docPartObj>
        <w:docPartGallery w:val="Page Numbers (Bottom of Page)"/>
        <w:docPartUnique/>
      </w:docPartObj>
    </w:sdtPr>
    <w:sdtEndPr>
      <w:rPr>
        <w:noProof/>
      </w:rPr>
    </w:sdtEndPr>
    <w:sdtContent>
      <w:p w14:paraId="779FFD6D" w14:textId="1AAA6950" w:rsidR="000E1916" w:rsidRDefault="000E19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9CB900" w14:textId="77777777" w:rsidR="000E1916" w:rsidRDefault="000E19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CEA21F" w14:textId="77777777" w:rsidR="00750E22" w:rsidRDefault="00750E22" w:rsidP="000E1916">
      <w:pPr>
        <w:spacing w:after="0" w:line="240" w:lineRule="auto"/>
      </w:pPr>
      <w:r>
        <w:separator/>
      </w:r>
    </w:p>
  </w:footnote>
  <w:footnote w:type="continuationSeparator" w:id="0">
    <w:p w14:paraId="3F873BE6" w14:textId="77777777" w:rsidR="00750E22" w:rsidRDefault="00750E22" w:rsidP="000E19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29"/>
    <w:rsid w:val="000E1916"/>
    <w:rsid w:val="00431EEC"/>
    <w:rsid w:val="00750E22"/>
    <w:rsid w:val="00B1138C"/>
    <w:rsid w:val="00CA6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FD05D"/>
  <w15:chartTrackingRefBased/>
  <w15:docId w15:val="{65675588-1F6E-470B-9885-D8DE920E3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529"/>
    <w:pPr>
      <w:ind w:left="720"/>
      <w:contextualSpacing/>
    </w:pPr>
  </w:style>
  <w:style w:type="paragraph" w:styleId="Header">
    <w:name w:val="header"/>
    <w:basedOn w:val="Normal"/>
    <w:link w:val="HeaderChar"/>
    <w:uiPriority w:val="99"/>
    <w:unhideWhenUsed/>
    <w:rsid w:val="000E1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916"/>
  </w:style>
  <w:style w:type="paragraph" w:styleId="Footer">
    <w:name w:val="footer"/>
    <w:basedOn w:val="Normal"/>
    <w:link w:val="FooterChar"/>
    <w:uiPriority w:val="99"/>
    <w:unhideWhenUsed/>
    <w:rsid w:val="000E1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2131</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2021-07-06T20:52:00Z</dcterms:created>
  <dcterms:modified xsi:type="dcterms:W3CDTF">2021-07-06T21:10:00Z</dcterms:modified>
</cp:coreProperties>
</file>