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Urteil in Amtshilfeverfahren</w:t>
      </w:r>
    </w:p>
    <w:p>
      <w:r>
        <w:t>1. Am 1. Mai 2024 richtete die Direction de contrôle fiscal Sud-Est, Frankreich (nachfolgend: ersuchende Behörde), gestützt auf Art. 28 des Abkommens vom 9. September 1966 zwischen der Schweiz und Frankreich zur Vermeidung der Doppelbesteuerung auf dem Gebiet der Steuern vom Einkommen und vom Vermögen und zur Vermeidung von Steuerbetrug und Steuerflucht (SR 0.672.934.91, nachfolgend: DBA CH-FR), ein Amtshilfeersuchen an die Eidgenössische Steuerverwaltung (ESTV) betreffend X AG, gegründet am 1. Januar 2002, gelöscht am 26. Januar 2024, letzte bekannte Adresse: Avenue L, Frankreich (nachfolgend: betroffene Person). Als Informationsinhaberin wurde die Y AG, Strasse 5, 6334 Zürich (nachfolgend: schweizerische Gesellschaft), genannt.</w:t>
        <w:br/>
        <w:br/>
        <w:t>2. Die ersuchende Behörde hat zum Sachverhalt im Wesentlichen Folgendes ausgeführt: Die X AG sei derzeit Gegenstand einer Steuerprüfung durch die französische Steuerverwaltung für den Zeitraum vom 1. Januar 2020 bis zum 31. Dezember 2022. Die X AG sei eine Gesellschaft monegassischen Rechts mit Sitz in Monaco und verfüge über eine Betriebsstätte in Frankreich, an welche ein französisches Steuerdossier vergeben worden sei. Da sie eine in den Alpen-Maritimes gelegene Luxusimmobilie besitze, reiche die X AG in Frankreich Steuererklärungen ein. Im Rahmen der Prüfung habe die Gesellschaft erklärt, sie sei per 1. Januar 2021 gegenüber ihrer Hauptgesellschafterin, der schweizerischen Y AG, mit 3 000 000 EUR verschuldet gewesen. Die vorgelegten Nachweise hierfür seien sehr alt (vor 2007). Es sei möglich, dass die Schuld in der Zeit zwischen 2007 und 2021 zurückbezahlt oder annulliert worden sei. Weiter werde ausgeführt, dass die Y AG in Frankreich auf Grund ihres Anteils am Ergebnis der X AG der Körperschaftssteuer unterliege und deshalb einen Jahresabschluss per 31. Dezember 2020 eingereicht habe, in welchem die oben genannte Forderung jedoch nicht ersichtlich sei. Die ersuchende Behörde begehrt mit ihrem Ersuchen eine Bestätigung oder Widerlegung der per 1. Januar 2021 bestehenden Forderung der Y AG gegenüber der X AG, um die steuerrechtlichen Konsequenzen in Frankreich ermitteln zu können.</w:t>
        <w:br/>
        <w:br/>
        <w:t>3. Die ersuchende Behörde hat die ESTV für den Zeitraum vom 1. Januar 2020 bis 31. Dezember 2022 um nachstehende Informationen über die schweizerische Gesellschaft ersucht:</w:t>
        <w:br/>
        <w:t>«1.  Bilan (actif et passif) arrete au 31/12/2020 de la societe Y AG.</w:t>
        <w:br/>
        <w:t>2.   Grand Livre du compte de la societe X AG ouvert dans la comptabilite de la societe Y AG pour la periode du 01/01/2021 au 31/12/2021.»</w:t>
        <w:br/>
        <w:br/>
        <w:t>4. Die ersuchende Behörde erklärte, dass das Ersuchen ihrem innerstaatlichen Recht, ihrer Verwaltungspraxis und dem zugrundeliegenden Abkommen entspreche; dass die Informationen unter vergleichbaren Umständen nach ihrem Recht und im üblichen Rahmen ihrer Verwaltungspraxis eingeholt werden könnten; dass alle auf dem eigenen Staatsgebiet zur Verfügung stehenden Mittel ausgeschöpft worden seien, mit Ausnahme solcher, die mit unverhältnismässigem Aufwand verbunden gewesen wären; und dass sämtliche durch das vorliegende Ersuchen erhaltenen Auskünfte vertraulich behandelt und nur für solche Zwecke verwendet werden würden, die im zugrundeliegenden Abkommen genehmigt worden seien.</w:t>
        <w:br/>
        <w:br/>
        <w:t>5. Nach Prüfung des Ersuchens gelangte die ESTV zum Schluss, dass auf dieses einzutreten sei, und eröffnete ein Verfahren. Daraufhin ersuchte sie am 11. Juni 2024 die Y AG sowie die Steuerverwaltung des Kantons Zürich (nachfolgend: Steuerverwaltung ZH) je mittels Editionsverfügung, ihr (der ESTV) die ersuchten Informationen zukommen zu lassen. Die Steuerverwaltung ZH sowie die Y AG sind der Aufforderung der ESTV jeweils nachgekommen.</w:t>
        <w:br/>
        <w:br/>
        <w:t>6. Mit Schreiben vom 25. November 2024 an die ESTV hat die schweizerische Gesellschaft gegen die Gewährung der Amtshilfe opponiert.</w:t>
        <w:br/>
        <w:br/>
        <w:t>7. Mit Schlussverfügung vom 6. Januar 2025 erkannte die ESTV (nachfolgend auch: Vorinstanz), dass der ersuchenden Behörde Amtshilfe betreffend die betroffene Person zu leisten und die ersuchten Informationen zu übermitteln seien.</w:t>
        <w:br/>
        <w:br/>
        <w:t>8. Gegen die Schlussverfügung vom 6. Januar 2025 lässt die schweizerische Gesellschaft (nachfolgend auch: Beschwerdeführerin) am 4. Februar 2025 Beschwerde beim Bundesverwaltungsgericht erheben. Sie stellt folgende Anträge:</w:t>
        <w:br/>
        <w:t>– Die Schlussverfügung vom 6. Januar 2025 betreffend Amtshilfe gemäss DBA CH-FR auf Ersuchen der Direction de contröle fiscal Sud-Est, Frankreich, vom 1. Mai 2024 sei vollumfänglich aufzuheben.</w:t>
        <w:br/>
        <w:t>– Die Jahresrechnung 2020 der Beschwerdeführerin sei nicht zu übermitteln.</w:t>
        <w:br/>
        <w:t>– Die im Auszug aus den Buchhaltungskontodetails der Beschwerdeführerin zum Konto Nr. XXX betreffend Darlehen gegenüber X AG vom 01.01. - 31.12.2021 enthaltenen Informationen, die sich auf den Zeitraum nach dem 1. Januar 2021 beziehen, seien vor der Übermittlung zu schwärzen.</w:t>
        <w:br/>
        <w:t>– Unter Kosten- und Entschädigungsfolgen (inkl. MWST) zulasten der Beschwerdegegnerin.</w:t>
        <w:br/>
        <w:br/>
        <w:t>9. Mit Vernehmlassung vom [...] beantragt die Vorinstanz, die Beschwerde sei kostenpflichtig abzuweisen.</w:t>
        <w:br/>
        <w:br/>
        <w:t>10. Auf die vorstehenden und die weiteren Vorbringen der Verfahrensbeteiligten sowie die Akten wird nachfolgend unter den Erwägungen insoweit eingegangen, als sie für den vorliegenden Entscheid wesentlich sind.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