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r>
        <w:t>1. Am 1. Mai 2024 richtete die zuständige französische Steuerbehörde, die Direction de contrôle fiscal Sud-Est, Frankreich (nachfolgend: DIRCOFI oder ersuchende Behörde), gestützt auf Art. 28 des Abkommens vom 9. September 1966 zwischen der Schweizerischen Eidgenossenschaft und Frankreich zur Vermeidung der Doppelbesteuerung auf dem Gebiet der Steuern vom Einkommen und vom Vermögen und zur Vermeidung von Steuerbetrug und Steuerflucht (SR 0.672.934.91; nachfolgend: DBA CH-FR) ein Amtshilfeersuchen an die Eidgenössische Steuerverwaltung (ESTV) betreffend X AG (nachfolgend: betroffene Person). Als Informationsinhaberin wurde die Y AG, Strasse 5, 6334 Zürich (nachfolgend: schweizerische Gesellschaft), genannt.</w:t>
        <w:br/>
        <w:br/>
        <w:t>2. Die ersuchende Behörde hat zum Sachverhalt im Wesentlichen Folgendes ausgeführt: Die französische Steuerverwaltung führt eine Überprüfung der steuerlichen Verhältnisse der X AG betreffend die Einkommens- und Vermögenssteuern für die Steuerperioden vom 1. Januar 2020 bis 31. Dezember 2022 durch. Die X AG habe im Rahmen dieser Überprüfung erklärt, per 1. Januar 2021 gegenüber der schweizerischen Gesellschaft Y AG eine Schuld im Umfang von EUR 3'000'000 auszuweisen. Die von der X AG vorgelegten Belege für diese Schuld seien sehr alt (vor dem Jahr 2007), und es bestehe Unsicherheit darüber, ob die Schuld zwischen 2007 und 2021 zurückbezahlt oder storniert wurde. Die französische Behörde beabsichtigt, die genaue steuerliche Erfassung dieser Schuld im Zusammenhang mit den Steuerpflichten der betroffenen Person festzustellen.</w:t>
        <w:br/>
        <w:br/>
        <w:t>3. Die DIRCOFI hat die ESTV für den Zeitraum vom 1. Januar 2020 bis 31. Dezember 2022 um nachstehende Informationen über die schweizerische Gesellschaft ersucht:</w:t>
        <w:br/>
        <w:t>«1. Bilan (actif et passif) arrete au 31/12/2020 de la societe Y AG.</w:t>
        <w:br/>
        <w:t>2. Grand Livre du compte de la societe X AG ouvert dans la comptabilite de la societe Y AG pour la periode du 01/01/2021 au 31/12/2021.»</w:t>
        <w:br/>
        <w:br/>
        <w:t>4. Die ersuchende Behörde erklärte, dass das Amtshilfeersuchen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unverhältnismässigem Aufwand verbunden gewesen wären; und dass sämtliche durch das vorliegende Ersuchen erhaltenen Auskünfte vertraulich behandelt und nur für solche Zwecke verwendet würden, die im zugrundeliegenden Abkommen vorgesehen seien.</w:t>
        <w:br/>
        <w:br/>
        <w:t>5. Nach Prüfung des Ersuchens gelangte die ESTV zum Schluss, dass auf dieses einzutreten sei, und eröffnete ein Verfahren. Daraufhin ersuchte sie am 11. Juni 2024 sowohl die Y AG als schweizerische Gesellschaft als auch die Steuerverwaltung des Kantons Zürich je mittels Editionsverfügung, ihr (der ESTV) die ersuchten Informationen zukommen zu lassen. Die Steuerverwaltung des Kantons Zürich ist der Aufforderung der ESTV mit Schreiben vom 17. Juni 2024 nachgekommen. Die Y AG hat die ersuchten Informationen der ESTV per E-Mail vom 21. Juni 2024 zugestellt.</w:t>
        <w:br/>
        <w:br/>
        <w:t>6. Im weiteren Verlauf informierte die ESTV mit Schreiben vom 4. November 2024 die Y AG über das Amtshilfeverfahren, den wesentlichen Inhalt des Amtshilfeersuchens sowie die zur Übermittlung an die ersuchende Behörde vorgesehenen Informationen. Mit E-Mail vom 25. November 2024 opponierte die Y AG durch ihren Rechtsvertreter gegen die geplante Gewährung der Amtshilfe.</w:t>
        <w:br/>
        <w:br/>
        <w:t>7. Mit Schlussverfügung vom 6. Januar 2025 erkannte die ESTV (nachfolgend auch: Vorinstanz), dass der DIRCOFI Amtshilfe betreffend die betroffene Person zu leisten und die ersuchten Informationen zu übermitteln seien.</w:t>
        <w:br/>
        <w:br/>
        <w:t>8. Gegen die Schlussverfügung vom 6. Januar 2025 lässt die Y AG (nachfolgend auch: Beschwerdeführerin) am 4. Februar 2025 Beschwerde beim Bundesverwaltungsgericht erheben. Sie stellt folgende Anträge:</w:t>
        <w:br/>
        <w:t>– Die Schlussverfügung vom 6. Januar 2025 betreffend Amtshilfe gemäss DBA CH-FR auf Ersuchen der Direction de contrôle fiscal Sud-Est, Frankreich, vom 1. Mai 2024 sei vollumfänglich aufzuheben.</w:t>
        <w:br/>
        <w:t>– Die Jahresrechnung 2020 der Beschwerdeführerin sei nicht zu übermitteln.</w:t>
        <w:br/>
        <w:t>– Die im Auszug aus den Buchhaltungskontodetails der Beschwerdeführerin zum Konto Nr. XXX betreffend Darlehen gegenüber X AG vom 01.01. – 31.12.2021 enthaltenen Informationen, die sich auf den Zeitraum nach dem 1. Januar 2021 beziehen, seien vor der Übermittlung zu schwärzen.</w:t>
        <w:br/>
        <w:t>– Unter Kosten- und Entschädigungsfolgen (inkl. MWST) zulasten der Beschwerdegegnerin.</w:t>
        <w:br/>
        <w:br/>
        <w:t>9. Mit Vernehmlassung vom [...] beantragt die Vorinstanz, die Beschwerde sei kostenpflichtig abzuweisen.</w:t>
        <w:br/>
        <w:br/>
        <w:t>10. Auf die vorstehenden und die weiteren Vorbringen der Verfahrensbeteiligten sowie die Akten wird nachfolgend unter den Erwägungen insoweit eingegangen, als sie für den vorliegenden Entscheid wesentlich sind.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