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Frankreich (nachfolgend: ersuchende Behörde), gestützt auf Artikel 28 des Abkommens vom 9. September 1966 zwischen der Schweizerischen Eidgenossenschaft und der Französischen Republik zur Vermeidung der Doppelbesteuerung auf dem Gebiet der Steuern vom Einkommen und vom Vermögen und zur Vermeidung von Steuerbetrug und Steuerflucht (SR 0.672.934.91, nachfolgend: DBA CH-FR), ein Amtshilfeersuchen an die Eidgenössische Steuerverwaltung (ESTV) betreffend die X AG, gelöscht am 26. Januar 2024, Frankreich (nachfolgend auch: betroffene Person). Als Informationsinhaberin wurde die Y AG, Zürich (nachfolgend: schweizerische Gesellschaft), genannt.</w:t>
      </w:r>
    </w:p>
    <w:p>
      <w:pPr>
        <w:pStyle w:val="ListNumber"/>
      </w:pPr>
      <w:r>
        <w:t>Die ersuchende Behörde hat zum Sachverhalt im Wesentlichen Folgendes ausgeführt: Sie führt eine Überprüfung der Steuerverhältnisse der betroffenen Person für die Steuerjahre 2021 bis 2023 durch. Im Rahmen dieser Überprüfung wird untersucht, ob die betroffene Person in Frankreich erzielte Einkünfte aus bestimmten Geschäftstätigkeiten ordnungsgemäß versteuert hat. Dabei erhebt die ersuchende Behörde den Verdacht, dass die betroffene Person mittels Transaktionen mit der schweizerischen Gesellschaft Einkünfte unzureichend deklariert habe, was zu einer Verkürzung der in Frankreich geschuldeten Steuer führen könnte. Das Amtshilfeersuchen dient somit der Beschaffung von Unterlagen und Informationen, die zur Beurteilung der steuerlichen Situation der betroffenen Person und zur Feststellung der korrekten Steuerbemessungsgrundlage erforderlich sind.</w:t>
      </w:r>
    </w:p>
    <w:p>
      <w:pPr>
        <w:pStyle w:val="ListNumber"/>
      </w:pPr>
      <w:r>
        <w:t>Das französische Finanzamt hat die ESTV für den Zeitraum vom 1. Januar 2021 bis 31. Dezember 2023 um nachstehende Informationen über die schweizerische Gesellschaft ersucht: Angaben zu den Geschäftstätigkeiten, den erhaltenen Zahlungen sowie sämtlichen mit der betroffenen Person getätigten Transaktionen, einschliesslich Vertragsunterlagen, Rechnungen, Zahlungsbelegen und weiteren relevanten Dokumenten, die zur Prüfung der Einkünfteerzielung und der korrekten steuerlichen Behandlung erforderlich sind.</w:t>
      </w:r>
    </w:p>
    <w:p>
      <w:pPr>
        <w:pStyle w:val="ListNumber"/>
      </w:pPr>
      <w:r>
        <w:t>Die ersuchende Behörde hat erklärt, dass das Amtshilfeersuchen ihrem innerstaatlichen Recht, ihrer Verwaltungspraxis sowie dem anwendbaren Doppelbesteuerungsabkommen entspricht; dass die ersuchten Informationen unter vergleichbaren Umständen nach ihrem Recht und im Rahmen ihrer üblichen Verwaltungspraxis eingeholt werden könnten; dass alle auf ihrem Staatsgebiet verfügbaren Mittel zur Informationsbeschaffung ausgeschöpft worden seien, ausgenommen solcher, die mit einem unverhältnismässigen Aufwand verbunden wären; sowie dass sämtliche aufgrund des Ersuchens erhaltenen Auskünfte vertraulich behandelt und ausschliesslich für die im zugrundeliegenden Abkommen vorgesehenen Zwecke verwendet würden.</w:t>
      </w:r>
    </w:p>
    <w:p>
      <w:pPr>
        <w:pStyle w:val="ListNumber"/>
      </w:pPr>
      <w:r>
        <w:t>Nach Prüfung des Ersuchens gelangte die ESTV zum Schluss, dass auf dieses einzutreten sei, und eröffnete ein Verfahren mit der Nummer 589.24-2024-AH-0123. Daraufhin ersuchte sie am 15. März 2024 die betroffene natürliche Person, die Informationsinhaberin sowie die zuständigen kantonalen Steuerbehörden jeweils mittels Editionsverfügung, ihr (der ESTV) die ersuchten Informationen zur Verfügung zu stellen. Die betroffene Person und die Informationsinhaberin sind der Aufforderung der ESTV fristgerecht nachgekommen. Die kantonalen Steuerbehörden beantragten eine Fristerstreckung, welcher entsprochen wurde. Nach Zustellung ergänzender Editionsverfügungen sind auch sie den Aufforderungen der ESTV nachgekommen.</w:t>
      </w:r>
    </w:p>
    <w:p>
      <w:pPr>
        <w:pStyle w:val="ListNumber"/>
      </w:pPr>
      <w:r>
        <w:t>Mit Schreiben vom 3. April 2024 an die ESTV hat die betroffene Person gegen die Gewährung der Amtshilfe opponiert. In einem weiteren Schreiben vom 10. April 2024 hat auch die Informationsinhaberin ihre Einwände gegen die Amtshilfe geltend gemacht. Vorab waren die betroffene Person und die Informationsinhaberin von der ESTV über den wesentlichen Inhalt des Amtshilfeersuchens sowie über die vorgesehenen Informationen, die an die ersuchende Behörde übermittelt werden sollen, informiert und hatten Gelegenheit zur Stellungnahme erhalten.</w:t>
      </w:r>
    </w:p>
    <w:p>
      <w:pPr>
        <w:pStyle w:val="ListNumber"/>
      </w:pPr>
      <w:r>
        <w:t>Mit Schlussverfügung vom 28. Mai 2024 erkannte die ESTV (nachfolgend auch: Vorinstanz), dass der ersuchenden Behörde im Rahmen des Amtshilfeverfahrens Amtshilfe betreffend die betroffene Person zu leisten und die ersuchten Informationen grundsätzlich vollständig zu übermitteln seien. In einzelnen Punkten wurde die Amtshilfe eingeschränkt, indem bestimmte Informationen geschwärzt wurden, um schutzwürdige Interessen zu wahren.</w:t>
      </w:r>
    </w:p>
    <w:p>
      <w:pPr>
        <w:pStyle w:val="ListNumber"/>
      </w:pPr>
      <w:r>
        <w:t>Gegen die Schlussverfügung vom 28. Mai 2024 lässt die beschwerdeführende Person am 15. Juni 2024 Beschwerde beim Bundesverwaltungsgericht erheben. Sie beantragt, die Schlussverfügung der ESTV vom 28. Mai 2024 sei aufzuheben und die Amtshilfe unter eingeschränkter Berücksichtigung der schutzwürdigen Interessen erneut zu prüfen sowie die Amtshilfe nur insoweit zu gewähren, als dies im Rahmen der bundesrechtlichen Vorgaben erforderlich ist.</w:t>
      </w:r>
    </w:p>
    <w:p>
      <w:pPr>
        <w:pStyle w:val="ListNumber"/>
      </w:pPr>
      <w:r>
        <w:t>Mit Vernehmlassung vom 12. Juli 2024 beantragt die Vorinstanz, die Beschwerde kostenpflichtig abzuweisen, räumt jedoch teilweise eine Gutheissung ein, soweit Schwärzungen in den zu übermittelnden Informationen erfolgen.</w:t>
      </w:r>
    </w:p>
    <w:p>
      <w:pPr>
        <w:pStyle w:val="ListNumber"/>
      </w:pPr>
      <w:r>
        <w:t>Auf die vorstehenden und die weiteren Vorbringen der Verfahrensbeteiligten sowie die Akten wird nachfolgend unter den Erwägungen insoweit eingegangen, als sie für den vorliegenden Entscheid wesentlich sind.</w:t>
      </w:r>
    </w:p>
    <w:p>
      <w:pPr>
        <w:pStyle w:val="Heading2"/>
      </w:pPr>
      <w:r>
        <w:t>Das Bundesverwaltungsgericht zieht in Erwägungen:</w:t>
      </w:r>
    </w:p>
    <w:p>
      <w:pPr>
        <w:pStyle w:val="ListNumber"/>
      </w:pPr>
      <w:r>
        <w:t>Gemäss Art. 19 Abs. 5 des Bundesgesetzes vom 28. September 2012 über die internationale Amtshilfe in Steuersachen (StAhiG, SR 651.1) prüft das Bundesverwaltungsgericht Beschwerden gegen Schlussverfügungen der Eidgenössischen Steuerverwaltung im Bereich der Amtshilfe. Die Eidgenössische Steuerverwaltung ist als Behörde nach Art. 33 VGG zu den Vorinstanzen des Bundesverwaltungsgerichts zu zählen. Es liegt keine sachliche oder personelle Ausnahme gemäss Art. 32 VGG vor. Somit ist das Bundesverwaltungsgericht für die Beurteilung der vorliegenden Beschwerde zuständig.</w:t>
      </w:r>
    </w:p>
    <w:p>
      <w:pPr>
        <w:pStyle w:val="ListNumber"/>
      </w:pPr>
      <w:r>
        <w:t>Die Durchführung des DBA CH-DE richtet sich nach dem Bundesgesetz vom 28. September 2012 über die internationale Amtshilfe in Steuersachen (StAhiG, SR 651.1; Art. 1 Abs. 1 Bst. a StAhiG). Vorbehalten bleiben allfällige abweichende Bestimmungen des anwendbaren Doppelbesteuerungsabkommens zwischen der Schweiz und Deutschland (DBA CH-DE), welche gemäss Art. 1 Abs. 2 StAhiG vorrangig gelten.</w:t>
      </w:r>
    </w:p>
    <w:p>
      <w:pPr>
        <w:pStyle w:val="ListNumber"/>
      </w:pPr>
      <w:r>
        <w:t>Das Verfahren richtet sich nach den Vorschriften des Bundesgesetzes über die internationale Amtshilfe in Steuersachen (StAhiG). Für das vorliegende Beschwerdeverfahren sind insbesondere die Bestimmungen des Verwaltungsverfahrensgesetzes (VwVG) sowie des Bundesverwaltungsgerichtsgesetzes (VGG) anwendbar, soweit das StAhiG keine abweichenden Regelungen enthält (Art. 5 Abs. 1 und Art. 19 Abs. 5 StAhiG, Art. 37 VGG). Ein allfälliger Vorrang der Bestimmungen des Doppelbesteuerungsabkommens zwischen der Schweiz und Deutschland (DBA CH-DE) ist zu beachten.</w:t>
      </w:r>
    </w:p>
    <w:p>
      <w:pPr>
        <w:pStyle w:val="ListNumber"/>
      </w:pPr>
      <w:r>
        <w:t>Der Beschwerdeführer ist als direkter Adressat der beanstandeten Verfügung gemäss Art. 48 Abs. 1 VwVG in Verbindung mit Art. 19 Abs. 2 StAhiG zur Beschwerde legitimiert.</w:t>
      </w:r>
    </w:p>
    <w:p>
      <w:pPr>
        <w:pStyle w:val="ListNumber"/>
      </w:pPr>
      <w:r>
        <w:t>Auf die am 10. April 2024 frist- und formgerecht eingereichte Beschwerde des Beschwerdeführers ist einzutreten (vgl. Art. 50 Abs. 1 und Art. 52 Abs. 1 VwVG).</w:t>
      </w:r>
    </w:p>
    <w:p>
      <w:pPr>
        <w:pStyle w:val="ListNumber"/>
      </w:pPr>
      <w:r>
        <w:t>Das Bundesverwaltungsgericht überprüft den angefochtenen Entscheid im Amtshilfeverfahren nur auf Rechtsverletzungen, soweit die Verfügung sich auf die Auslegung und Anwendung von Bundesrecht stützt. Die Feststellungen zum Sachverhalt gelten als verbindlich, sofern keine offensichtlichen Fehler vorliegen. Die Beschwerde kann sich insbesondere gegen die Verletzung verfahrensrechtlicher Vorschriften oder gegen eine unzulässige Beschränkung der Amtshilfe richten (Art. 49 VwVG).</w:t>
      </w:r>
    </w:p>
    <w:p>
      <w:pPr>
        <w:pStyle w:val="ListNumber"/>
      </w:pPr>
      <w:r>
        <w:t>In einem ersten Schritt ist auf die formelle Rüge der Verletzung des rechtlichen Gehörs einzugehen. Der Beschwerdeführer rügt, die Vorinstanz habe das rechtliche Gehör verletzt, indem sie ihm das von der ersuchenden Behörde eingereichte Amtshilfeersuchen vom (Datum) nicht vor Erlass der angefochtenen Schlussverfügung vom (Datum) zugestellt habe. Gemäss Art. 29 Abs. 2 BV haben die Parteien Anspruch auf rechtliches Gehör. Das Recht auf Akteneinsicht ist Teil dieses verfassungsrechtlichen Anspruchs. Auf spezialgesetzlicher Ebene enthält das Steueramtshilfegesetz Vorschriften, die diesen Grundsatz konkretisieren, insbesondere Art. 14 Abs. 1 StAhiG, wonach die ESTV die betroffene Person über die wesentlichen Teile des Ersuchens informieren muss. Die Vorinstanz hat den Beschwerdeführer mit Schreiben vom (Datum) über den wesentlichen Inhalt des Amtshilfeersuchens informiert. Die Prüfung ergibt, dass die Vorinstanz damit den Anforderungen von Art. 14 Abs. 1 StAhiG genügt und dem Beschwerdeführer Gelegenheit zur Stellungnahme eingeräumt hat. Eine Verletzung des rechtlichen Gehörs liegt somit nicht vor.</w:t>
      </w:r>
    </w:p>
    <w:p>
      <w:pPr>
        <w:pStyle w:val="ListNumber"/>
      </w:pPr>
      <w:r>
        <w:t>Der Beschwerdeführer hat im Verfahren vor dem Bundesverwaltungsgericht Akteneinsicht beantragt. Dem Gesuch wurde entsprochen, indem ihm uneingeschränkte Einsicht in die Akten gewährt wurde. Damit erübrigen sich weitergehende Ausführungen zum Akteneinsichtsbegehren.</w:t>
      </w:r>
    </w:p>
    <w:p>
      <w:pPr>
        <w:pStyle w:val="ListNumber"/>
      </w:pPr>
      <w:r>
        <w:t>Das vorliegende Amtshilfeersuchen bezieht sich auf den Zeitraum vom 1. Januar 2018 bis zum 31. Dezember 2020 und stützt sich auf Art. 25 des Doppelbesteuerungsabkommens zwischen der Schweiz und Deutschland sowie auf das dazugehörige Zusatzprotokoll vom 15. Juli 2002.</w:t>
      </w:r>
    </w:p>
    <w:p>
      <w:pPr>
        <w:pStyle w:val="ListNumber"/>
      </w:pPr>
      <w:r>
        <w:t>Gemäss Art. 25 Abs. 1 Satz 1 DBA CH-DE tauschen die zuständigen Behörden der Vertragsstaaten unter sich jene Informationen aus, die zur Durchführung des Abkommens oder zur Anwendung oder Durchsetzung des innerstaatlichen Rechts betreffend Steuern jeder Art und Bezeichnung, die von den Vertragsstaaten oder deren politischen Unterabteilungen oder lokalen Körperschaften erhoben werden, voraussichtlich erheblich sind, soweit die auf Grund dieses Rechts vorgenommene Besteuerung nicht dem Abkommen widerspricht. Der Informationsaustausch nach Art. 25 DBA CH-DE unterliegt keinen Einschränkungen durch die Bestimmungen über den persönlichen oder sachlichen Geltungsbereich des Abkommens.</w:t>
      </w:r>
    </w:p>
    <w:p>
      <w:pPr>
        <w:pStyle w:val="ListNumber"/>
      </w:pPr>
      <w:r>
        <w:t>Gemäss Art. 25 Abs. 1 DBA CH-DE kann die ersuchende Behörde ein Amtshilfeersuchen stellen, wenn es zur Durchführung des Abkommens oder zur Anwendung oder Durchsetzung des innerstaatlichen Steuerrechts erforderlich ist. Dabei ist sicherzustellen, dass die ersuchende Behörde zuvor alle ihr im Rahmen ihres nationalen Steuerverfahrens zur Verfügung stehenden und üblichen Mittel zur Beschaffung der verlangten Informationen ausgeschöpft hat (Subsidiaritätsprinzip). Im Einklang mit dem völkerrechtlichen Vertrauensprinzip ist der Erklärung der ersuchenden Behörde, dass sie alle innerstaatlichen Mittel ausgeschöpft hat, grundsätzlich zu glauben, sofern keine konkreten Anhaltspunkte vorliegen, die ernsthafte Zweifel an der Richtigkeit dieser Erklärung begründen.</w:t>
      </w:r>
    </w:p>
    <w:p>
      <w:pPr>
        <w:pStyle w:val="ListNumber"/>
      </w:pPr>
      <w:r>
        <w:t>Gemäss Art. 25 Abs. 1 DBA CH-DE hat die ersuchende Behörde im Amtshilfeersuchen die Identität der betroffenen Person, den Zeitraum, für den die Informationen verlangt werden, eine präzise Beschreibung der angeforderten Informationen sowie den Zweck der Amtshilfe anzugeben. Zudem sind, soweit bekannt, Angaben zum mutmasslichen Inhaber der verlangten Informationen zu machen. Das vorliegende Amtshilfeersuchen enthält alle erforderlichen Angaben gemäss den Bestimmungen des DBA CH-DE, sodass von einer zulässigen und zweckgebundenen Anfrage ausgegangen werden kann. Ein Anzeichen für ein verbotene «fishing expedition» liegt nicht vor.</w:t>
      </w:r>
    </w:p>
    <w:p>
      <w:pPr>
        <w:pStyle w:val="ListNumber"/>
      </w:pPr>
      <w:r>
        <w:t>Gemäss Art. 25 DBA CH-DE ist für den Informationsaustausch die Voraussetzung der voraussichtlichen Erheblichkeit der verlangten Informationen erfüllt, wenn zum Zeitpunkt des Amtshilfeersuchens eine vernünftige Möglichkeit besteht, dass die Informationen für das Steuerverfahren im ersuchenden Staat von Bedeutung sind. Im vorliegenden Fall ergibt sich aus dem Amtshilfeersuchen, dass die ersuchende Behörde konkrete Anhaltspunkte vorbringt, welche einen Zusammenhang zwischen den angeforderten Daten und der laufenden steuerlichen Abklärung der betroffenen Person erkennen lassen. Damit ist die voraussichtliche Erheblichkeit gegeben, weshalb eine umfassende Prüfung der tatsächlichen Bedeutung der Informationen dem ersuchenden Staat obliegt. Die ersuchte Behörde hat lediglich zu beurteilen, ob die verlangten Auskünfte plausibel mit dem Sachverhalt in Verbindung stehen und geeignet sind, im ausländischen Verfahren verwendet zu werden. Ein Verweigerungsgrund mit dem Argument fehlender voraussichtlicher Erheblichkeit ist daher nicht gegeben.</w:t>
      </w:r>
    </w:p>
    <w:p>
      <w:pPr>
        <w:pStyle w:val="ListNumber"/>
      </w:pPr>
      <w:r>
        <w:t>Die Übermittlung von Informationen zu sogenannten nicht betroffenen Personen ist im vorliegenden Fall nur insofern zulässig, als diese Informationen für die Beurteilung der Steuersituation der betroffenen Person im ersuchenden Staat voraussichtlich erheblich sind und deren Herausgabe unter Verhältnismässigkeitsgesichtspunkten erforderlich ist. Es ist keine Rüge erhoben worden, dass die angeforderten Daten zum Teil Personen betreffen, die als nicht betroffene Personen im Sinne von Art. 4 Abs. 3 StAhiG anzusehen wären. Soweit personenbezogene Daten Dritter enthalten sein sollten, ist zu berücksichtigen, dass deren Aussonderung oder Unkenntlichmachung den Zweck des Amtshilfeersuchens vereiteln müsste, um eine Übermittlung zu verhindern. Im vorliegenden Verfahren sind derartige Umstände nicht dargetan, weshalb keine Einschränkung der Amtshilfe aufgrund des Schutzes nicht betroffener Personen erfolgt.</w:t>
      </w:r>
    </w:p>
    <w:p>
      <w:pPr>
        <w:pStyle w:val="ListNumber"/>
      </w:pPr>
      <w:r>
        <w:t>Art. 28 Abs. 3 DBA CH-FR sieht vor, dass ein Vertragsstaat nicht verpflichtet ist, Verwaltungsmassnahmen durchzuführen oder Informationen zu erteilen, die nach den Gesetzen oder im üblichen Verwaltungsverfahren dieses Staates nicht beschafft werden können. Im vorliegenden Fall wurde geltend gemacht, dass die ersuchten Informationen nach Schweizer Recht nicht beschafft werden könnten beziehungsweise keine Mitwirkungspflicht hinsichtlich dieser Informationen bestünde. Die Angaben betreffen jedoch eine in der Schweiz steuerpflichtige Person, weshalb die einschlägigen Mitwirkungspflichten gemäss Art. 124-126 DBG zur Anwendung kommen. Soweit die ersuchten Informationen für die Veranlagung der betroffenen Person relevant sind, sind diese unter Schweizer Recht beschaffbar und die Mitwirkungspflicht entsprechend gegeben. Angaben zu Dritten, die nicht unmittelbar für die Veranlagung der betroffenen Person von Bedeutung sind, unterliegen hingegen keinen Mitwirkungspflichten. Dem Vorbehalt des innerstaatlichen Rechts steht demnach nichts entgegen.</w:t>
      </w:r>
    </w:p>
    <w:p>
      <w:pPr>
        <w:pStyle w:val="ListNumber"/>
      </w:pPr>
      <w:r>
        <w:t>Gemäss den vorgelegten Unterlagen hat der Beschwerdeführer geltend gemacht, die ersuchende Behörde habe die üblichen Mittel zur Beschaffung der ersuchten Informationen nicht ausgeschöpft, weshalb das Subsidiaritätsprinzip anwendbar sei. Die ersuchende Behörde hat hingegen erklärt, sämtliche in ihrem innerstaatlichen Steuerverfahren vorgesehenen üblichen Mittel zur Informationsbeschaffung erschöpft zu haben, ohne dass konkrete Anhaltspunkte für Zweifel an der Richtigkeit dieser Erklärung vorliegen. Es ist zu berücksichtigen, dass nach der Rechtsprechung nicht das Ausschöpfen sämtlicher möglicher Mittel verlangt wird, sondern nur der Ausschöpfung jener Mittel, die ohne unverhältnismässigen Aufwand zum Ziel führen. Eine vorherige Befragung der betroffenen Person ist nicht zwingend erforderlich, solange das Ermittlungsobjekt hinreichend präzisiert ist. Vor diesem Hintergrund erweist sich das Subsidiaritätsprinzip im vorliegenden Fall als gewahrt.</w:t>
      </w:r>
    </w:p>
    <w:p>
      <w:pPr>
        <w:pStyle w:val="ListNumber"/>
      </w:pPr>
      <w:r>
        <w:t>Im vorliegenden Fall ist das völkerrechtliche Vertrauensprinzip zu prüfen, da der Beschwerdeführer Zweifel an der Richtigkeit der Ausführungen der ersuchenden Behörde im Amtshilfeersuchen geltend macht. Gemäss diesem Grundsatz besteht grundsätzlich kein Anlass, an den Darstellungen und Erklärungen der ersuchenden Behörde zu zweifeln, solange keine offensichtlichen Fehler, Widersprüche oder Lücken vorhanden sind. Die ersuchende Behörde hat den massgeblichen Sachverhalt hinreichend dargelegt und ist zu keinem Zeitpunkt derart unplausibel oder widersprüchlich gewesen, dass das Vertrauensprinzip in Frage gestellt werden müsste. Es sind weder tatsachenmässige Anhaltspunkte für einen Rechtsmissbrauch noch Zweifel an der Einhaltung völkerrechtlicher Grundsätze ersichtlich. Somit ist die ersuchte Behörde an die vorgebrachten Darstellungen gebunden, und das Vertrauen in die Rechtmässigkeit des Amtshilfeersuchens ist gewahrt.</w:t>
      </w:r>
    </w:p>
    <w:p>
      <w:pPr>
        <w:pStyle w:val="ListNumber"/>
      </w:pPr>
      <w:r>
        <w:t>Im vorliegenden Fall ist ein spontaner Informationsaustausch nur zu prüfen, soweit geltend gemacht wird, dass die übermittelten Informationen nicht aufgrund eines Amtshilfeersuchens, sondern spontan erfolgt seien. Das Amtshilfeersuchen enthält jedoch konkrete und hinreichende Angaben zu den gewünschten Informationen, welche von der ersuchten Behörde übermittelt wurden. Damit liegt keine spontane, sondern eine auf einem formellen Amtshilfeersuchen basierende Auskunft vor. Eine Auslegung des Ersuchens im Sinne von Treu und Glauben bestätigt, dass die übermittelten Daten im Rahmen der Amtshilfe angefordert wurden und somit kein spontaner Informationsaustausch gegeben ist.</w:t>
      </w:r>
    </w:p>
    <w:p>
      <w:pPr>
        <w:pStyle w:val="ListNumber"/>
      </w:pPr>
      <w:r>
        <w:t>Das vorliegende Amtshilfeersuchen erfüllt die an ein solches gestellten formellen Anforderungen. Das Ersuchen bezieht sich auf einen konkreten Sachverhalt, welcher hinreichend genau beschrieben ist. Die ersuchende Behörde legt nachvollziehbar dar, weshalb die angeforderten Informationen für die steuerliche Beurteilung der betroffenen Person voraussichtlich erheblich sind. Damit ist das Amtshilfeersuchen nicht als «fishing expedition» zu qualifizieren. Soweit die Beschwerdeführerin geltend macht, es liege eine «fishing expedition» vor, weil die angeforderten Informationen nicht voraussichtlich erheblich seien, ist dieses Vorbringen im Rahmen der Prüfung der voraussichtlichen Erheblichkeit der Informationen gesondert zu beurteilen.</w:t>
      </w:r>
    </w:p>
    <w:p>
      <w:pPr>
        <w:pStyle w:val="ListNumber"/>
      </w:pPr>
      <w:r>
        <w:t>Die Beschwerdeführerin macht eine Verletzung des Subsidiaritätsprinzips geltend, indem sie vorbringt, die ersuchende Behörde habe die üblichen innerstaatlichen Mittel nicht ausgeschöpft. Aus der Schlussverfügung geht jedoch hervor, dass die ersuchende Behörde sämtliche auf dem eigenen Staatsgebiet verfügbaren Mittel ausgeschöpft habe, mit Ausnahme solcher, deren Einschaltung mit unverhältnismäßigem Aufwand verbunden gewesen wäre. Zudem hat die ersuchende Behörde den Sachverhalt im Rahmen der innerstaatlichen Ermittlungen soweit abgeklärt, dass sie das vorliegende Amtshilfeersuchen rechtfertigen konnte. Damit gelingt es der Beschwerdeführerin nicht, ernsthafte Zweifel an der Richtigkeit der Erklärung zur Ausschöpfung der innerstaatlichen Mittel zu begründen. Nach bundesgerichtlicher Rechtsprechung kann von der ersuchenden Behörde nicht verlangt werden, sich eingehend mit der Funktionsweise und den Inhalten ausländischer öffentlicher Register vertraut zu machen. Insbesondere lässt sich der Verweis auf möglicherweise öffentlich zugängliche Informationen nicht dahingehend interpretieren, dass die ersuchende Behörde ihre Pflichten zur Ausschöpfung der innerstaatlichen Mittel verletzt hätte. Folglich ist das Subsidiaritätsprinzip im vorliegenden Fall eingehalten.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