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(nachfolgend: ersuchende Behörde), gestützt auf Artikel 28 des Abkommens vom 9. September 1966 zwischen der Schweiz und Frankreich zur Vermeidung der Doppelbesteuerung auf dem Gebiet der Steuern vom Einkommen und vom Vermögen sowie zur Vermeidung von Steuerbetrug und Steuerflucht (SR 0.672.934.91, nachfolgend: DBA CH-FR) ein Amtshilfeersuchen an die Eidgenössische Steuerverwaltung (ESTV) betreffend die X AG (nachfolgend: betroffene Person). Als Informationsinhaberin wurde die Y AG (nachfolgend: schweizerische Gesellschaft) genannt.</w:t>
      </w:r>
    </w:p>
    <w:p>
      <w:pPr>
        <w:pStyle w:val="ListNumber"/>
      </w:pPr>
      <w:r>
        <w:t>Die ersuchende Behörde hat zum Sachverhalt im Wesentlichen Folgendes ausgeführt: Die X AG befindet sich derzeit im Rahmen einer Steuerprüfung bei der französischen Steuerverwaltung für den Zeitraum vom 1. Januar 2020 bis zum 31. Dezember 2022. Die X AG ist eine Gesellschaft mit Sitz in Monaco und verfügt über eine Betriebsstätte in Frankreich. Im Zuge der Prüfung hat die X AG angegeben, per 1. Januar 2021 gegenüber ihrer Hauptaktionärin, der schweizerischen Gesellschaft Y AG, eine Schuld in Höhe von 3.000.000 Euro zu haben. Die vorgelegten Nachweise hierzu sind jedoch veraltet und betreffen Zeiträume vor 2007. Es wird vermutet, dass die Schuld zwischen 2007 und 2021 getilgt oder aufgehoben wurde. Zudem ist die Y AG in Frankreich steuerpflichtig für ihren Anteil am Ergebnis der X AG; in der bei der französischen Steuerverwaltung vorgelegten Bilanz der Y AG per 31. Dezember 2020 ist jedoch keine entsprechende Forderung gegenüber der X AG enthalten. Ziel des Amtshilfeersuchens ist es, die Existenz und den Umfang dieser Forderung zum 1. Januar 2021 zu bestätigen oder zu widerlegen, um die Höhe der in Frankreich steuerlich relevanten Beträge festzustellen.</w:t>
      </w:r>
    </w:p>
    <w:p>
      <w:pPr>
        <w:pStyle w:val="ListNumber"/>
      </w:pPr>
      <w:r>
        <w:t>Die ersuchende Behörde hat die ESTV für den Zeitraum vom 1. Januar 2020 bis 31. Dezember 2022 um nachstehende Informationen ersucht:</w:t>
        <w:br/>
        <w:br/>
        <w:t xml:space="preserve">«1. Bilan (actif et passif) arrêté au 31/12/2020 de la société Y AG.  </w:t>
        <w:br/>
        <w:t>2. Grand Livre du compte de la société X AG ouvert dans la comptabilité de la société Y AG pour la période du 01/01/2021 au 31/12/2021.»</w:t>
      </w:r>
    </w:p>
    <w:p>
      <w:pPr>
        <w:pStyle w:val="ListNumber"/>
      </w:pPr>
      <w:r>
        <w:t>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dass sämtliche durch das vorliegende Ersuchen erhaltenen Auskünfte vertraulich behandelt und nur für solche Zwecke verwendet werden würden, die im zugrundeliegenden Abkommen genehmigt worden seien.</w:t>
      </w:r>
    </w:p>
    <w:p>
      <w:pPr>
        <w:pStyle w:val="ListNumber"/>
      </w:pPr>
      <w:r>
        <w:t>Nach Prüfung des Ersuchens gelangte die ESTV zum Schluss, dass auf dieses einzutreten sei. Am 11. Juni 2024 ersuchte sie die schweizerische Gesellschaft Y AG mittels Editionsverfügung, ihr die ersuchten Informationen zuzustellen, und setzte die betroffene Person davon in Kenntnis, um ihr eine Frist zur Stellungnahme oder zur Bezeichnung einer in der Schweiz bevollmächtigten Person einzuräumen. Zudem ersuchte die ESTV am selben Tag die Steuerverwaltung des Kantons Zürich, ihr die ersuchten Informationen zu übermitteln. Die Steuerverwaltung des Kantons Zürich kam der Aufforderung der ESTV fristgerecht nach, und auch die Y AG stellte die ersuchten Informationen per E-Mail zu. Auf Nachfrage teilte die Y AG mit, dass die betroffene Person nicht über das Amtshilfeverfahren informiert worden sei. Im weiteren Verlauf informierte die ESTV die beschwerdeberechtigte Person am 4. November 2024 schriftlich über das Amtshilfeverfahren und setzte ihr eine Frist von zehn Tagen für eine Stellungnahme oder Zustimmung zur Informationsübermittlung. Mit E-Mail vom 11. November 2024 meldete sich der Rechtsvertreter der Y AG und reichte eine Vollmacht ein; gleichzeitig beantragte er eine Fristerstreckung, welche von der ESTV bis zum 25. November 2024 gewährt wurde. Die Stellungnahme der Beschwerdeführerin wurde fristgerecht eingereicht.</w:t>
      </w:r>
    </w:p>
    <w:p>
      <w:pPr>
        <w:pStyle w:val="ListNumber"/>
      </w:pPr>
      <w:r>
        <w:t>Mit Schreiben vom 25. November 2024 hat die schweizerische Gesellschaft Y AG an die ESTV Stellung genommen und gegen die Gewährung der Amtshilfe opponiert.</w:t>
      </w:r>
    </w:p>
    <w:p>
      <w:pPr>
        <w:pStyle w:val="ListNumber"/>
      </w:pPr>
      <w:r>
        <w:t>Mit Schlussverfügung vom 6. Januar 2025 erkannte die ESTV (nachfolgend auch: Vorinstanz) an, der ersuchenden Behörde Amtshilfe betreffend die betroffene Person X AG zu leisten und die ersuchten Informationen der Y AG zu übermitteln. Dabei wies die ESTV Gesuche um Nichtübermittlung der Jahresrechnung 2020 sowie um Schwärzung bestimmter Informationen aus den Kontodetails ab und beabsichtigte, die Informationen ungeschwärzt weiterzuleiten.</w:t>
      </w:r>
    </w:p>
    <w:p>
      <w:pPr>
        <w:pStyle w:val="ListNumber"/>
      </w:pPr>
      <w:r>
        <w:t xml:space="preserve">Gegen die Schlussverfügung vom 6. Januar 2025 lässt die schweizerische Gesellschaft Y AG (nachfolgend auch: Beschwerdeführerin) am 4. Februar 2025 Beschwerde beim Bundesverwaltungsgericht erheben. Sie stellt folgende Anträge: </w:t>
        <w:br/>
        <w:br/>
        <w:t>1. Die Schlussverfügung vom 6. Januar 2025 betreffend Amtshilfe gemäss DBA CH-FR auf Ersuchen der Direction de contrôle fiscal Sud-Est, Frankreich, vom 1. Mai 2024 sei vollumfänglich aufzuheben.</w:t>
        <w:br/>
        <w:br/>
        <w:t>2. Die Jahresrechnung 2020 der Beschwerdeführerin sei nicht zu übermitteln.</w:t>
        <w:br/>
        <w:br/>
        <w:t>3. Die im Auszug aus den Buchhaltungskontodetails der Beschwerdeführerin zum Konto Nr. XXX betreffend Darlehen gegenüber X AG vom 1. Januar bis 31. Dezember 2021 enthaltenen Informationen, die sich auf den Zeitraum nach dem 1. Januar 2021 beziehen, seien vor der Übermittlung zu schwärzen.</w:t>
        <w:br/>
        <w:br/>
        <w:t>4. Unter Kosten- und Entschädigungsfolgen zulasten der Beschwerdegegnerin.</w:t>
      </w:r>
    </w:p>
    <w:p>
      <w:pPr>
        <w:pStyle w:val="ListNumber"/>
      </w:pPr>
      <w:r>
        <w:t>Mit Vernehmlassung vom 18. März 2025 beantragt die Vorinstanz, die Beschwerde sei kostenpflichtig abzuweisen.</w:t>
      </w:r>
    </w:p>
    <w:p>
      <w:pPr>
        <w:pStyle w:val="ListNumber"/>
      </w:pPr>
      <w:r>
        <w:t>Auf die vorstehenden und die weiteren Vorbringen der Verfahrensbeteiligten sowie die Akten wird nachfolgend unter den Erwägungen insoweit eingegangen, als sie für den vorliegenden Entscheid wesentlich sind.</w:t>
      </w:r>
    </w:p>
    <w:p>
      <w:pPr>
        <w:pStyle w:val="Heading2"/>
      </w:pPr>
      <w:r>
        <w:t>Das Bundesverwaltungsgericht zieht in Erwägungen:</w:t>
      </w:r>
    </w:p>
    <w:p>
      <w:pPr>
        <w:pStyle w:val="ListNumber"/>
      </w:pPr>
      <w:r>
        <w:t>Gestützt auf Artikel 19 Absatz 5 des Bundesgesetzes vom 28. September 2012 über die internationale Amtshilfe in Steuersachen (StAhiG, SR 651.1) i.V.m. Artikel 31 VGG und Artikel 47 Absatz 1 Buchstabe b VwVG ist das Bundesverwaltungsgericht für die Beurteilung der vorliegenden Beschwerde gegen die Schlussverfügung der Eidgenössischen Steuerverwaltung vom 6. Januar 2025 zuständig. Die Eidgenössische Steuerverwaltung stellt als Vorinstanz gemäss Artikel 2 StAhiG die Vorinstanz im Sinn des Bundesgesetzes über das Bundesverwaltungsgericht dar. Es liegen keine Ausschlussgründe nach Artikel 32 VGG vor. Somit ist das Bundesverwaltungsgericht zur Entscheidung befugt.</w:t>
      </w:r>
    </w:p>
    <w:p>
      <w:pPr>
        <w:pStyle w:val="ListNumber"/>
      </w:pPr>
      <w:r>
        <w:t>Die Durchführung des Abkommens zwischen der Schweiz und Deutschland zur Vermeidung der Doppelbesteuerung auf dem Gebiet der Steuern vom Einkommen und Vermögen (DBA CH-DE) richtet sich nach dem Bundesgesetz vom 28. September 2012 über die internationale Amtshilfe in Steuersachen (StAhiG, SR 651.1; Art. 1 Abs. 1 Bst. a StAhiG). Etwaige abweichende Bestimmungen des DBA CH-DE gehen den Bestimmungen des StAhiG vor (Art. 1 Abs. 2 StAhiG).</w:t>
      </w:r>
    </w:p>
    <w:p>
      <w:pPr>
        <w:pStyle w:val="ListNumber"/>
      </w:pPr>
      <w:r>
        <w:t>Das Beschwerdeverfahren im vorliegenden Amtshilfeverfahren richtet sich nach den Vorschriften des StAhiG, insbesondere nach Art. 19 Abs. 5 StAhiG, soweit keine spezialgesetzlichen Regelungen des VGG entgegenstehen. Ergänzend kommen die Bestimmungen des VwVG zur Anwendung, soweit das StAhiG keine abweichenden Regelungen enthält (Art. 5 Abs. 1 StAhiG, Art. 37 VGG).</w:t>
      </w:r>
    </w:p>
    <w:p>
      <w:pPr>
        <w:pStyle w:val="ListNumber"/>
      </w:pPr>
      <w:r>
        <w:t>Der Beschwerdeführer ist als Antragsteller im Amtshilfeverfahren gemäss Art. 19 Abs. 2 StAhiG in Verbindung mit Art. 48 Abs. 1 VwVG zur Beschwerde legitimiert.</w:t>
      </w:r>
    </w:p>
    <w:p>
      <w:pPr>
        <w:pStyle w:val="ListNumber"/>
      </w:pPr>
      <w:r>
        <w:t>Auf die am 10. März 2024 eingereichte Beschwerde ist einzutreten, da sie fristgerecht und in der vorgeschriebenen Form eingereicht wurde (vgl. Art. 50 Abs. 1 und Art. 52 Abs. 1 VwVG).</w:t>
      </w:r>
    </w:p>
    <w:p>
      <w:pPr>
        <w:pStyle w:val="ListNumber"/>
      </w:pPr>
      <w:r>
        <w:t>Das Bundesverwaltungsgericht prüft den angefochtenen Entscheid soweit auf dessen Rechtskonformität, unter besonderer Berücksichtigung der vorliegenden Amtshilfeverfügung. Die Beschwerdeberechtigte kann gestützt auf Art. 49 VwVG neben Rechtsverletzungen auch eine unrichtige oder unvollständige Feststellung des rechtserheblichen Sachverhalts geltend machen, wobei der Prüfungsumfang auf die in der Verfügung aufgeworfenen Fragen beschränkt ist.</w:t>
      </w:r>
    </w:p>
    <w:p>
      <w:pPr>
        <w:pStyle w:val="ListNumber"/>
      </w:pPr>
      <w:r>
        <w:t>Dem Antrag des Beschwerdeführers auf Gewährung von Akteneinsicht wurde im Verfahren vor dem Bundesverwaltungsgericht entsprochen. Damit erübrigen sich weitere Ausführungen zum Akteneinsichtsbegehren.</w:t>
      </w:r>
    </w:p>
    <w:p>
      <w:pPr>
        <w:pStyle w:val="ListNumber"/>
      </w:pPr>
      <w:r>
        <w:t>Das vorliegende Amtshilfeersuchen betrifft den Zeitraum vom 1. Januar 2018 bis zum 31. Dezember 2020 und stützt sich auf Art. 26 DBA CH-DE sowie auf die Bestimmungen des am 15. Mai 2015 in Kraft getretenen Protokolls zum Doppelbesteuerungsabkommen zwischen der Schweiz und Deutschland.</w:t>
      </w:r>
    </w:p>
    <w:p>
      <w:pPr>
        <w:pStyle w:val="ListNumber"/>
      </w:pPr>
      <w:r>
        <w:t>Gemäss Art. 26 Abs. 1 DBA CH-DE tauschen die zuständigen Behörden der Vertragsstaaten jene Informationen aus, die für die Durchführung des Abkommens oder die Anwendung oder Durchsetzung der innerstaatlichen Steuergesetze jeder Art und Bezeichnung relevant sind, soweit diese Informationen voraussichtlich erheblich sind und nicht durch das Abkommen ausgeschlossen werden. Der Informationsaustausch gemäss Art. 26 DBA CH-DE findet unabhängig von Art. 1 (persönlicher Geltungsbereich) und Art. 2 (sachlicher Geltungsbereich) des Abkommens statt.</w:t>
      </w:r>
    </w:p>
    <w:p>
      <w:pPr>
        <w:pStyle w:val="ListNumber"/>
      </w:pPr>
      <w:r>
        <w:t>Gemäss Art. 26 Abs. 1 DBA CH-DE kann die ersuchende Behörde ein Amtshilfeersuchen stellen, wenn die angeforderten Informationen für die Durchführung des Abkommens oder die Anwendung beziehungsweise Durchsetzung der innerstaatlichen Steuergesetze erheblich sind. Dabei ist zu prüfen, ob die ersuchende Behörde zuvor alle ihr im innerstaatlichen Verfahren zur Verfügung stehenden üblichen Mittel zur Beschaffung der Informationen ausgeschöpft hat. Entsprechend dem Subsidiaritätsprinzip wird der ersuchenden Behörde grundsätzlich vertraut, dass sie diese Voraussetzungen erfüllt hat, sofern keine konkreten Anhaltspunkte vorliegen, die ernsthafte Zweifel an der Richtigkeit ihrer Erklärung begründen.</w:t>
      </w:r>
    </w:p>
    <w:p>
      <w:pPr>
        <w:pStyle w:val="ListNumber"/>
      </w:pPr>
      <w:r>
        <w:t>Gemäss Art. 26 Abs. 1 DBA CH-DE sind im Amtshilfeersuchen die folgenden Angaben erforderlich: (i) die Identität der Person, auf die sich die Auskunft bezieht; (ii) der betreffende Zeitraum; (iii) eine konkrete Beschreibung der verlangten Informationen sowie Hinweise zur gewünschten Form der Übermittlung; (iv) der Steuerzweck, für den die Information benötigt wird; (v) soweit bekannt, Angaben zum mutmasslichen Inhaber der verlangten Informationen. Das vorliegende Amtshilfeersuchen enthält sämtliche dieser erforderlichen Angaben. Damit ist dem Erfordernis entsprochen, welches gemäss dem anwendbaren Doppelbesteuerungsabkommen für die Zulässigkeit eines Amtshilfeersuchens vorausgesetzt wird. Ein Anhaltspunkt für eine unerlaubte «fishing expedition» liegt somit nicht vor.</w:t>
      </w:r>
    </w:p>
    <w:p>
      <w:pPr>
        <w:pStyle w:val="ListNumber"/>
      </w:pPr>
      <w:r>
        <w:t>Gemäss Art. 26 Abs. 1 DBA CH-DE bedarf der Informationsaustausch der voraussichtlichen Erheblichkeit der verlangten Angaben. Im vorliegenden Fall ergibt sich aus dem Amtshilfeersuchen, dass die ersuchende Behörde eine konkrete Verbindung zwischen den angefragten Informationen und einer laufenden Steueruntersuchung herstellt. Die ersuchte Behörde hat die Plausibilität des Ersuchens geprüft und festgestellt, dass die verlangten Angaben geeignet sind, die Ermittlung der steuerlichen Verhältnisse der betreffenden Person im ersuchenden Staat zu unterstützen. Eine «fishing expedition» liegt nicht vor, da das Ersuchen auf spezifische, zeitlich und personell eingrenzbare Informationen abzielt. Die Voraussetzung der voraussichtlichen Erheblichkeit ist daher erfüllt, weil vernünftigerweise zu erwarten ist, dass die Übermittlung der angeforderten Daten für die steuerliche Prüfung von Bedeutung sein wird. Ein Verzicht auf die Auskunftserteilung mit der Begründung, dass die Informationen nicht voraussichtlich erheblich seien, ist demnach nicht gerechtfertigt.</w:t>
      </w:r>
    </w:p>
    <w:p>
      <w:pPr>
        <w:pStyle w:val="ListNumber"/>
      </w:pPr>
      <w:r>
        <w:t>Im vorliegenden Fall wird geltend gemacht, dass es sich bei den ersuchten Informationen zumindest teilweise um solche zu nicht betroffenen Personen handeln könnte. Gemäss Art. 4 Abs. 3 StAhiG ist eine Übermittlung von Informationen zu nicht betroffenen Personen nur zulässig, sofern diese Informationen voraussichtlich für die Beurteilung der Steuersituation der betroffenen Person relevant sind und berechtigte Interessen der nicht betroffenen Personen nicht das Interesse an der Übermittlung überwiegen. Unter Berücksichtigung der Rechtsprechung ist der Begriff der nicht betroffenen Person restriktiv zu interpretieren, um den Schutz von Personen zu gewährleisten, die mit dem im Amtshilfeersuchen geschilderten Sachverhalt nichts zu tun haben. Im vorliegenden Fall ist zu prüfen, ob eine Aussonderung oder Schwärzung der Informationen möglich wäre, ohne den Zweck des Amtshilfeersuchens zu vereiteln. Nach eingehender Prüfung erweist sich, dass die betreffenden Informationen für die Ermittlung im ersuchenden Staat voraussichtlich erheblich sind und eine Aussonderung deren Zweck gefährden würde. Somit ist eine Übermittlung der Informationen im Umfang des Ersuchens unter Wahrung der Verhältnismässigkeit gerechtfertigt.</w:t>
      </w:r>
    </w:p>
    <w:p>
      <w:pPr>
        <w:pStyle w:val="ListNumber"/>
      </w:pPr>
      <w:r>
        <w:t>Art. 28 Abs. 3 DBA CH-FR sieht vor, dass ein Vertragsstaat nicht verpflichtet ist, Verwaltungsmassnahmen durchzuführen oder Informationen zu erteilen, welche nach dem Recht oder der Verwaltungspraxis dieses oder des anderen Vertragsstaats nicht beschafft werden können. Im vorliegenden Fall wurde geltend gemacht, die ersuchten Informationen könnten nach Schweizer Recht nicht beschafft werden, da keine entsprechende Mitwirkungspflicht bestehe. Zu prüfen ist daher, ob die ersuchten Informationen im Rahmen der in Art. 123-129 DBG vorgesehenen Mitwirkungspflichten tatsächlich beschafft werden können. Die verlangten Auskünfte betreffen Angaben, die zwecks Veranlagung der betroffenen Person relevant sind und keine Informationen, welche ausschliesslich die Veranlagung Dritter betreffen, ohne deren Einfluss auf die betroffene Person. Somit bestehen unter schweizerischem Recht grundsätzlich Mitwirkungspflichten zur Beschaffung der ersuchten Daten, und der Vorbehalt des innerstaatlichen Rechts ist im vorliegenden Fall nicht einschlägig.</w:t>
      </w:r>
    </w:p>
    <w:p>
      <w:pPr>
        <w:pStyle w:val="ListNumber"/>
      </w:pPr>
      <w:r>
        <w:t>Gemäss Ziff. IV Abs. 1 des Protokolls zum DBA CH-FR besteht Einvernehmen darüber, dass der ersuchende Vertragsstaat ein Amtshilfeersuchen erst dann stellt, wenn er zur Beschaffung der Informationen alle in seinem innerstaatlichen Steuerverfahren vorgesehenen üblichen Mittel, die nicht mit unverhältnismässigen Schwierigkeiten verbunden sind, ausgeschöpft hat (Subsidiaritätsprinzip). Vorliegend hat der Beschwerdeführer geltend gemacht, die ersuchende Behörde habe die üblichen Mittel nicht vollständig ausgeschöpft, um an die ersuchten Informationen zu gelangen. Unter Beachtung des völkerrechtlichen Vertrauensprinzips ist an der von der ersuchenden Behörde abgegebenen Erklärung zur Ausschöpfung der üblichen Mittel jedoch kein Anlass zu zweifeln, sofern keine konkreten, ernsthaften Zweifel begründenden Anhaltspunkte vorliegen. Die vorliegenden Unterlagen zeigen, dass der ersuchende Staat vor Abgabe des Amtshilfeersuchens seine Ermittlungen hinreichend präzisiert und nicht unverhältnismässige oder wenig erfolgversprechende Mittel ausgelassen hat. Auch eine vorherige Befragung der betroffenen Person war nicht erforderlich. Damit ist das Subsidiaritätsprinzip gewahrt.</w:t>
      </w:r>
    </w:p>
    <w:p>
      <w:pPr>
        <w:pStyle w:val="ListNumber"/>
      </w:pPr>
      <w:r>
        <w:t>Im vorliegenden Fall beruft sich der Beschwerdeführer auf das völkerrechtliche Vertrauensprinzip, indem er die Richtigkeit der von der ersuchenden Behörde im Amtshilfeersuchen gemachten Ausführungen in Zweifel zieht. Demnach ist die ersuchte Behörde an die Darstellungen des ersuchenden Staates gebunden, sofern diese nicht durch offensichtliche Fehler, Lücken oder Widersprüche unmittelbar widerlegt werden können. Die vorliegenden Unterlagen zeigen keine derartigen Mängel, welche das Vertrauen in die Darstellung der ersuchenden Behörde beeinträchtigen würden. Entsprechend besteht kein Anlass, die Angaben des ersuchenden Staates infrage zu stellen, und es sind keine zusätzlichen Erklärungen oder Nachweise zur Klärung erforderlich. Das Vertrauensprinzip ist somit anzuwenden und spricht für die Anerkennung des Ersuchens in der vorliegenden Amtshilfeangelegenheit.</w:t>
      </w:r>
    </w:p>
    <w:p>
      <w:pPr>
        <w:pStyle w:val="ListNumber"/>
      </w:pPr>
      <w:r>
        <w:t>Im vorliegenden Fall wurde geltend gemacht, es liege ein spontaner Informationsaustausch vor. Nach Prüfung der Akten ist festzustellen, dass die ersuchte Behörde Informationen übermittelt hat, die nicht ausdrücklich im Amtshilfeersuchen der ersuchenden Behörde angefordert wurden. Entsprechend ist zu überprüfen, ob die gesetzlichen Voraussetzungen für einen spontanen Informationsaustausch erfüllt sind. Dies setzt eine ausdrückliche gesetzliche Grundlage im innerstaatlichen Recht voraus sowie eine Auslegung des Amtshilfeersuchens im Sinne des völkerrechtlichen Prinzips von Treu und Glauben. Die vorliegenden Unterlagen zeigen, dass die ersuchte Behörde die übermittelten Informationen nach Zweck und Inhalt des Ersuchens ausgewertet und den Umfang der Übermittlung entsprechend eingeschränkt hat. Daraus ergibt sich, dass der Informationsaustausch im vorliegenden Fall nicht als spontaner Informationsaustausch im rechtlichen Sinne zu qualifizieren ist.</w:t>
      </w:r>
    </w:p>
    <w:p>
      <w:pPr>
        <w:pStyle w:val="ListNumber"/>
      </w:pPr>
      <w:r>
        <w:t>Das vorliegende Amtshilfeersuchen erfüllt die an ein solches zu stellenden formellen Anforderungen. Das Ersuchen ist auf einen konkreten Sachverhalt bezogen und enthält eine hinreichend detaillierte Beschreibung des Sachverhalts sowie den Zweck der Datenanfrage. Die ersuchende Behörde legt nachvollziehbar dar, weshalb die erbetenen Informationen voraussichtlich erheblich für die zu prüfenden Besteuerungsfragen sind. Von einer «fishing expedition» oder einer unspezifischen Anfrage auf gut Glück kann daher keine Rede sein. Soweit das Gesuch beanstandet wird, da eine solche «fishing expedition» vorliegen soll, ist dies unter dem Gesichtspunkt der voraussichtlichen Erheblichkeit der angeforderten Informationen weiter zu prüfen.</w:t>
      </w:r>
    </w:p>
    <w:p>
      <w:pPr>
        <w:pStyle w:val="ListNumber"/>
      </w:pPr>
      <w:r>
        <w:t>Die Beschwerdeführerin macht eine Verletzung des Subsidiaritätsprinzips geltend, indem sie vorbringt, die ersuchende Behörde habe die üblichen innerstaatlichen Mittel nicht ausgeschöpft. Im vorliegenden Fall ergibt sich aus der Schlussverfügung vom (Datum), dass die ersuchende Behörde erklärt hat, sämtliche ihr im eigenen Hoheitsgebiet zur Verfügung stehenden Mittel zur Erlangung der angeforderten Informationen ausgeschöpft zu haben, mit Ausnahme solcher, die mit unverhältnismässigem Aufwand verbunden gewesen wären. Diese Erklärung wird durch den Sachverhalt gestützt, wonach die ersuchende Behörde den Sachverhalt im Rahmen ihrer Untersuchungen verlässlich zu klären vermochte. Die Beschwerdeführerin vermag mit ihrem Vorbringen keine schlüssigen Anhaltspunkte zu liefern, die an der Richtigkeit dieser Erklärung zweifeln lassen oder sie widerlegen könnten. Unter diesen Umständen ist das Subsidiaritätsprinzip eingehalten.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