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(nachfolgend: ersuchende Behörde), gestützt auf Artikel 28 des Abkommens vom 9. September 1966 zwischen der Schweiz und Frankreich zur Vermeidung der Doppelbesteuerung auf dem Gebiet der Steuern vom Einkommen und vom Vermögen und zur Vermeidung von Steuerbetrug und Steuerflucht (DBA CH-FR; SR 0.672.934.91), ein Amtshilfeersuchen an die Eidgenössische Steuerverwaltung (ESTV) betreffend die X AG, gegründet am 1. Januar 2002 und gelöscht am 26. Januar 2024, mit letzter bekannter Adresse in Frankreich (nachfolgend auch: betroffene Person). Als Informationsinhaberin wurde die Y AG, Strasse 5, 6334 Zürich (nachfolgend: schweizerische Gesellschaft), genannt.</w:t>
      </w:r>
    </w:p>
    <w:p/>
    <w:p>
      <w:pPr>
        <w:pStyle w:val="ListNumber"/>
      </w:pPr>
      <w:r>
        <w:t>Die ersuchende Behörde hat zum Sachverhalt im Wesentlichen Folgendes ausgeführt: Die X AG unterziehe sich derzeit einer Steuerprüfung durch die französische Finanzverwaltung für den Zeitraum vom 1. Januar 2020 bis 31. Dezember 2022. Die Gesellschaft, mit Sitz in Monaco, verfüge über eine Betriebsstätte in Frankreich und sei Eigentümerin einer Luxusimmobilie in den Alpes-Maritimes. Im Rahmen der Prüfung habe die X AG angegeben, per 1. Januar 2021 bei der schweizerischen Gesellschaft Y AG mit einem Betrag von 3.000.000 Euro verschuldet zu sein. Die vorgelegten Belege hierfür seien jedoch veraltet, datierten vor 2007, und es könne sein, dass die Schuld zwischen 2007 und 2021 getilgt oder aufgehoben wurde. Die Y AG sei zudem in Frankreich steuerpflichtig für ihren Anteil am Ergebnis der X AG und habe für den 31. Dezember 2020 eine Bilanz eingereicht, in der eine entsprechende Forderung in dieser Höhe auf der Aktivseite hätte erscheinen müssen, was jedoch nicht der Fall sei. Die ersuchende Behörde strebe mit dem Amtshilfeersuchen eine Bestätigung oder Widerlegung der behaupteten Forderung der Y AG gegenüber der X AG per 1. Januar 2021 an, um die Höhe der in Frankreich hinterzogenen Steuern feststellen zu können.</w:t>
      </w:r>
    </w:p>
    <w:p/>
    <w:p>
      <w:pPr>
        <w:pStyle w:val="ListNumber"/>
      </w:pPr>
      <w:r>
        <w:t>Die ersuchende Behörde hat die ESTV für den Zeitraum vom 1. Januar 2020 bis 31. Dezember 2022 um nachstehende Informationen ersucht:</w:t>
        <w:br/>
        <w:br/>
        <w:t>«1. Bilan (actif et passif) arrêté au 31/12/2020 de la société Y AG.</w:t>
        <w:br/>
        <w:br/>
        <w:t>2. Grand Livre du compte de la société X AG ouvert dans la comptabilité de la société Y AG pour la période du 01/01/2021 au 31/12/2021.»</w:t>
      </w:r>
    </w:p>
    <w:p/>
    <w:p>
      <w:pPr>
        <w:pStyle w:val="ListNumber"/>
      </w:pPr>
      <w:r>
        <w:t>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unverhältnismässigem Aufwand verbunden gewesen wären; dass sämtliche durch das vorliegende Ersuchen erhaltenen Auskünfte vertraulich behandelt und nur für solche Zwecke verwendet werden würden, die im zugrundeliegenden Abkommen genehmigt worden seien.</w:t>
      </w:r>
    </w:p>
    <w:p/>
    <w:p>
      <w:pPr>
        <w:pStyle w:val="ListNumber"/>
      </w:pPr>
      <w:r>
        <w:t>Nach Prüfung des Ersuchens gelangte die ESTV zum Schluss, dass auf dieses einzutreten sei. Mit Editionsverfügung vom 11. Juni 2024 ersuchte sie die Y AG, Strasse 5, 6334 Zürich, sowie die Steuerverwaltung des Kantons Zürich, ihr die ersuchten Informationen zuzuleiten. Die Steuerverwaltung des Kantons Zürich kam dieser Aufforderung mit Schreiben vom 17. Juni 2024 fristgerecht nach. Die Y AG stellte die angeforderten Informationen per E-Mail am 21. Juni 2024 zu. Auf Nachfrage der ESTV teilte die Y AG am 1. Juli 2024 mit, dass die betroffene Person nicht über das Amtshilfeverfahren informiert wurde. Zudem ersuchte der Rechtsvertreter der Y AG im November 2024 um Fristerstreckung zur Einreichung einer Stellungnahme, welcher die ESTV bis zum 25. November 2024 entsprach.</w:t>
      </w:r>
    </w:p>
    <w:p/>
    <w:p>
      <w:pPr>
        <w:pStyle w:val="ListNumber"/>
      </w:pPr>
      <w:r>
        <w:t>Mit Schreiben vom 25. November 2024 an die ESTV hat die Y AG gegen die Gewährung der Amtshilfe opponiert und dabei insbesondere die Übermittlung der Jahresrechnung 2020 sowie bestimmter Buchhaltungsdetails betreffend den Zeitraum nach dem 1. Januar 2021 beanstandet.</w:t>
      </w:r>
    </w:p>
    <w:p/>
    <w:p>
      <w:pPr>
        <w:pStyle w:val="ListNumber"/>
      </w:pPr>
      <w:r>
        <w:t>Mit Schlussverfügung vom 6. Januar 2025 erkannte die ESTV (nachfolgend auch: Vorinstanz), dass der ersuchenden Behörde Amtshilfe betreffend die X AG zu leisten und die ersuchten Informationen, namentlich die Jahresrechnung 2020 der Y AG sowie den Auszug aus dem Hauptbuchkonto betreffend die X AG für das Jahr 2021, zu übermitteln seien. Auf die beantragten Schwärzungen und die Nichtübermittlung der Jahresrechnung 2020 wurde nicht eingetreten.</w:t>
      </w:r>
    </w:p>
    <w:p/>
    <w:p>
      <w:pPr>
        <w:pStyle w:val="ListNumber"/>
      </w:pPr>
      <w:r>
        <w:t>Gegen die Schlussverfügung der Eidgenössischen Steuerverwaltung vom 6. Januar 2025 lässt die Y AG (nachfolgend auch: Beschwerdeführerin) am 4. Februar 2025 Beschwerde beim Bundesverwaltungsgericht erheben. Sie stellt folgende Anträge:</w:t>
        <w:br/>
        <w:br/>
        <w:t>Die Schlussverfügung vom 6. Januar 2025 betreffend Amtshilfe gemäss DBA CH-FR auf Ersuchen der Direction de contrôle fiscal Sud-Est, Frankreich, vom 1. Mai 2024 sei vollumfänglich aufzuheben.</w:t>
        <w:br/>
        <w:br/>
        <w:t>Die Jahresrechnung 2020 der Beschwerdeführerin sei nicht zu übermitteln.</w:t>
        <w:br/>
        <w:br/>
        <w:t>Die im Auszug aus den Buchhaltungskontodetails der Beschwerdeführerin zum Konto Nr. XXX betreffend Darlehen gegenüber X AG vom 1. Januar bis 31. Dezember 2021 enthaltenen Informationen, die sich auf den Zeitraum nach dem 1. Januar 2021 beziehen, seien vor der Übermittlung zu schwärzen.</w:t>
        <w:br/>
        <w:br/>
        <w:t>Unter Kosten- und Entschädigungsfolgen (inkl. MWST) zulasten der Eidgenössischen Steuerverwaltung.</w:t>
      </w:r>
    </w:p>
    <w:p/>
    <w:p>
      <w:pPr>
        <w:pStyle w:val="ListNumber"/>
      </w:pPr>
      <w:r>
        <w:t>Die Vorinstanz liess sich mit Vernehmlassung vom 28. Februar 2025 vernehmen und beantragt, die Beschwerde abzuweisen.</w:t>
      </w:r>
    </w:p>
    <w:p/>
    <w:p>
      <w:pPr>
        <w:pStyle w:val="ListNumber"/>
      </w:pPr>
      <w:r>
        <w:t>Mit Replik vom 15. März 2025 nimmt die Beschwerdeführerin zur Vernehmlassung Stellung und bekräftigt ihre Anträge aus der Beschwerde.</w:t>
        <w:br/>
        <w:br/>
        <w:t>Mit Duplik vom 5. April 2025 äussert sich die Vorinstanz zu den Vorbringen der Beschwerdeführerin in der Replik und hält an ihren Anträgen fest.</w:t>
      </w:r>
    </w:p>
    <w:p/>
    <w:p>
      <w:pPr>
        <w:pStyle w:val="ListNumber"/>
      </w:pPr>
      <w:r>
        <w:t>Auf die vorstehenden und die weiteren Vorbringen der Verfahrensbeteiligten sowie die Akten wird nachfolgend unter den Erwägungen insoweit eingegangen, als sie für den vorliegenden Entscheid wesentlich sind.</w:t>
      </w:r>
    </w:p>
    <w:p/>
    <w:p>
      <w:pPr>
        <w:pStyle w:val="Heading2"/>
      </w:pPr>
      <w:r>
        <w:t>Das Bundesverwaltungsgericht zieht in Erwägungen:</w:t>
      </w:r>
    </w:p>
    <w:p>
      <w:pPr>
        <w:pStyle w:val="ListNumber"/>
      </w:pPr>
      <w:r>
        <w:t>Gemäss Artikel 19 Absatz 5 des Bundesgesetzes vom 16. Dezember 2011 über die internationale Amtshilfe in Steuersachen (StAhiG, SR 651.1) beurteilt das Bundesverwaltungsgericht Beschwerden gegen Schlussverfügungen der Eidgenössischen Steuerverwaltung (ESTV) im Amtshilfeverfahren. Die ESTV als Vorinstanz ist für den Vollzug der Amtshilfe zuständig (Art. 2 StAhiG). Eine Abweichung im Sinne von Artikel 32 des Bundesgesetzes vom 17. Juni 2005 über das Bundesverwaltungsgericht (VGG, SR 173.32) ist nicht ersichtlich. Das Bundesverwaltungsgericht ist somit für die Beurteilung der vorliegenden Beschwerde zuständig.</w:t>
      </w:r>
    </w:p>
    <w:p/>
    <w:p>
      <w:pPr>
        <w:pStyle w:val="ListNumber"/>
      </w:pPr>
      <w:r>
        <w:t>Die Durchführung des DBA CH-FR richtet sich nach dem Bundesgesetz vom 28. September 2012 über die internationale Amtshilfe in Steuersachen (StAhiG, SR 651.1; Art. 1 Abs. 1 Bst. a StAhiG). Allenfalls abweichende Bestimmungen des vorliegend anwendbaren Abkommens vom 9. September 1966 zwischen der Schweiz und Frankreich zur Vermeidung der Doppelbesteuerung auf dem Gebiet der Steuern vom Einkommen und Vermögen (DBA CH-FR; SR 0.672.934.91) gehen vor (Art. 1 Abs. 2 StAhiG).</w:t>
      </w:r>
    </w:p>
    <w:p/>
    <w:p>
      <w:pPr>
        <w:pStyle w:val="ListNumber"/>
      </w:pPr>
      <w:r>
        <w:t>Das Beschwerdeverfahren richtet sich nach den Bestimmungen über die Bundesrechtspflege und somit nach dem VwVG, soweit das VGG oder das StAhiG nichts anderes bestimmen (Art. 5 Abs. 1 und Art. 19 Abs. 5 StAhiG, Art. 37 VGG).</w:t>
      </w:r>
    </w:p>
    <w:p/>
    <w:p>
      <w:pPr>
        <w:pStyle w:val="ListNumber"/>
      </w:pPr>
      <w:r>
        <w:t>Die Beschwerdeführerin ist als Beschwerdegegnerin der Schlussverfügung gemäss Art. 48 Abs. 1 VwVG in Verbindung mit Art. 19 Abs. 2 StAhiG zur Beschwerde legitimiert.</w:t>
      </w:r>
    </w:p>
    <w:p/>
    <w:p>
      <w:pPr>
        <w:pStyle w:val="ListNumber"/>
      </w:pPr>
      <w:r>
        <w:t>Auf die frist- und formgerecht eingereichte Beschwerde ist folglich einzutreten (vgl. Art. 50 Abs. 1 und Art. 52 Abs. 1 VwVG).</w:t>
      </w:r>
    </w:p>
    <w:p/>
    <w:p>
      <w:pPr>
        <w:pStyle w:val="ListNumber"/>
      </w:pPr>
      <w:r>
        <w:t>Das Bundesverwaltungsgericht überprüft den angefochtenen Entscheid grundsätzlich in vollem Umfang. Die Beschwerdeführerin kann mit der Beschwerde neben der Verletzung von Bundesrecht auch die unrichtige oder unvollständige Feststellung des rechtserheblichen Sachverhalts sowie die Unangemessenheit rügen (Art. 49 VwVG).</w:t>
      </w:r>
    </w:p>
    <w:p/>
    <w:p>
      <w:pPr>
        <w:pStyle w:val="ListNumber"/>
      </w:pPr>
      <w:r>
        <w:t>Die Beschwerdeführerin rügt nicht ausdrücklich eine Verletzung des rechtlichen Gehörs. Die Vorinstanz hat die Beschwerdeführerin mit Schreiben vom 4. November 2024 über den wesentlichen Inhalt des Amtshilfeersuchens informiert und ihr Gelegenheit zur Stellungnahme gegeben. Damit sind die Anforderungen von Art. 14 Abs. 1 und Abs. 2 StAhiG erfüllt. Eine Verletzung des rechtlichen Gehörs liegt nicht vor.</w:t>
      </w:r>
    </w:p>
    <w:p/>
    <w:p>
      <w:pPr>
        <w:pStyle w:val="ListNumber"/>
      </w:pPr>
      <w:r>
        <w:t>Das vorliegende Amtshilfeersuchen betrifft den Zeitraum vom 1. Januar 2020 bis 31. Dezember 2022 und stützt sich auf Artikel 28 DBA CH-FR in Verbindung mit Ziffer XI des Protokolls zum Abkommen vom 9. September 1966 zwischen der Schweiz und Frankreich.</w:t>
      </w:r>
    </w:p>
    <w:p/>
    <w:p>
      <w:pPr>
        <w:pStyle w:val="ListNumber"/>
      </w:pPr>
      <w:r>
        <w:t>Gemäss Artikel 28 DBA CH-FR tauschen die zuständigen Behörden der beiden Vertragsstaaten unter sich diejenigen Informationen aus, die zur Durchführung des Abkommens oder zur Anwendung oder Durchsetzung des innerstaatlichen Rechts betreffend Steuern vom Einkommen und vom Vermögen voraussichtlich erheblich sind, soweit die diesem Recht entsprechende Besteuerung nicht dem Abkommen widerspricht.</w:t>
      </w:r>
    </w:p>
    <w:p/>
    <w:p>
      <w:pPr>
        <w:pStyle w:val="ListNumber"/>
      </w:pPr>
      <w:r>
        <w:t>Gemäss Ziffer XI Ziffer 1 des Protokolls zum DBA CH-FR stellt die ersuchende Behörde ein Amtshilfeersuchen erst dann, wenn sie alle in ihrem innerstaatlichen Steuerverfahren vorgesehenen üblichen Mittel zur Beschaffung der Informationen ausgeschöpft hat. Aufgrund des völkerrechtlichen Vertrauensprinzips ist ohne konkrete Anhaltspunkte davon auszugehen, dass die ersuchende Behörde diese Erklärung zutreffend abgegeben hat.</w:t>
      </w:r>
    </w:p>
    <w:p/>
    <w:p>
      <w:pPr>
        <w:pStyle w:val="ListNumber"/>
      </w:pPr>
      <w:r>
        <w:t>Gemäss Ziffer XI Ziffer 2 des Protokolls zum DBA CH-FR müssen die Steuerbehörden des ersuchenden Staates bei Stellung eines Amtshilfebegehrens unter anderem die Identität der betroffenen Person, den Zeitraum, für den die Informationen verlangt werden, eine Beschreibung der verlangten Informationen sowie den Steuerzweck angeben. Das vorliegende Amtshilfeersuchen enthält diese Angaben, weshalb das Vorliegen einer sogenannten «fishing expedition» ausgeschlossen werden kann.</w:t>
      </w:r>
    </w:p>
    <w:p/>
    <w:p>
      <w:pPr>
        <w:pStyle w:val="ListNumber"/>
      </w:pPr>
      <w:r>
        <w:t>Der Informationsaustausch gemäss DBA CH-FR setzt die voraussichtliche Erheblichkeit der auszutauschenden Informationen voraus. Gemäss Ziffer XI Ziffer 3 des Protokolls zum DBA CH-FR soll mit diesem Begriff sichergestellt werden, dass ein möglichst umfassender Informationsaustausch in Steuerbelangen erfolgt, ohne dass ungezielt nach Informationen gesucht wird, deren Relevanz für die steuerlichen Belange einer bestimmten Person unwahrscheinlich ist. Die voraussichtliche Erheblichkeit ist erfüllt, wenn zum Zeitpunkt der Einreichung des Amtshilfeersuchens eine vernünftige Möglichkeit besteht, dass sich die verlangten Informationen als erheblich erweisen. Ob eine Information tatsächlich erheblich ist, beurteilt der ersuchende Staat abschliessend; die ersuchte Behörde hat im Rahmen der Amtshilfe lediglich die Plausibilität des Ersuchens zu prüfen, indem sie kontrolliert, ob die verlangten Informationen einen Zusammenhang mit dem im Amtshilfeersuchen geschilderten Sachverhalt aufweisen und für das ausländische Verfahren von Bedeutung sein können. Die Hürde für die voraussichtliche Erheblichkeit ist dabei nicht sehr hoch. Ein Verweigerungsgrund besteht nur, wenn der sachliche Zusammenhang zwischen den verlangten Informationen und der im ersuchenden Staat laufenden Untersuchung unwahrscheinlich erscheint.</w:t>
      </w:r>
    </w:p>
    <w:p/>
    <w:p>
      <w:pPr>
        <w:pStyle w:val="ListNumber"/>
      </w:pPr>
      <w:r>
        <w:t>Das vorliegende Amtshilfeersuchen erfüllt die an ein solches gestellten formellen Anforderungen. Es bezieht sich auf einen konkret beschriebenen Sachverhalt und enthält eine hinreichende Begründung, weshalb die ersuchten Informationen für die Besteuerung der betroffenen Person in Frankreich voraussichtlich erheblich sind. Damit liegt keine «fishing expedition» oder ein Begehren aufs Geratewohl vor. Soweit die Beschwerdeführerin geltend macht, das Ersuchen sei dennoch nicht voraussichtlich erheblich, wird dies unter der Prüfung der voraussichtlichen Erheblichkeit behandelt.</w:t>
      </w:r>
    </w:p>
    <w:p/>
    <w:p>
      <w:pPr>
        <w:pStyle w:val="ListNumber"/>
      </w:pPr>
      <w:r>
        <w:t>Die Beschwerdeführerin macht eine Verletzung des Subsidiaritätsprinzips geltend, indem sie vorbringt, die ersuchende Behörde habe die üblichen innerstaatlichen Mittel zur Beschaffung der Informationen nicht ausgeschöpft. Aus der Schlussverfügung der ESTV vom 6. Januar 2025 ergibt sich jedoch, dass die ersuchende Behörde erklärt hat, alle auf ihrem Staatsgebiet verfügbaren Mittel ausgeschöpft zu haben, mit Ausnahme solcher, die mit unverhältnismässigem Aufwand verbunden gewesen wären. Damit ist ohne konkrete Anhaltspunkte von der Richtigkeit dieser Erklärung auszugehen. Die Beschwerdeführerin vermag mit ihren Vorbringen keine ernsthaften Zweifel an der Ausschöpfung der üblichen Mittel durch die ersuchende Behörde zu begründen. Entsprechend ist das Subsidiaritätsprinzip eingehalten.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