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pPr>
        <w:pStyle w:val="Heading2"/>
      </w:pPr>
      <w:r>
        <w:t>Sachverhalt:</w:t>
      </w:r>
    </w:p>
    <w:p>
      <w:pPr>
        <w:pStyle w:val="ListNumber"/>
      </w:pPr>
      <w:r>
        <w:t>Am 1. Mai 2024 richtete die zuständige französische Steuerbehörde, die Direction de contrôle fiscal Sud-Est (nachfolgend: ersuchende Behörde), gestützt auf Artikel 28 des Abkommens vom 9. September 1966 zwischen der Schweizerischen Eidgenossenschaft und Frankreich zur Vermeidung der Doppelbesteuerung auf dem Gebiet der Steuern vom Einkommen und vom Vermögen und zur Vermeidung von Steuerbetrug und Steuerflucht (SR 0.672.934.91, nachfolgend: DBA CH-FR) ein Amtshilfeersuchen an die Eidgenössische Steuerverwaltung (ESTV) betreffend die X AG (nachfolgend auch: betroffene Person). Als Informationsinhaberin wurde die Y AG (nachfolgend: schweizerische Gesellschaft) benannt.</w:t>
      </w:r>
    </w:p>
    <w:p/>
    <w:p>
      <w:pPr>
        <w:pStyle w:val="ListNumber"/>
      </w:pPr>
      <w:r>
        <w:t>Die ersuchende Behörde hat zum Sachverhalt im Wesentlichen Folgendes ausgeführt: Die X AG befinde sich derzeit im Rahmen einer Steuerprüfung der französischen Finanzverwaltung für die Periode vom 1. Januar 2020 bis 31. Dezember 2022. Die Gesellschaft sei Eigentümerin einer Luxusimmobilie in den Alpes-Maritimes und führe in Frankreich Steuererklärungen aufgrund ihrer dortigen Betriebsstätte. Im Verlauf der Prüfung habe die X AG angegeben, per 1. Januar 2021 gegenüber ihrem Hauptaktionär, der schweizerischen Y AG, mit einem Betrag von 3.000.000 € verschuldet zu sein. Die vorgelegten Nachweise zu dieser Schuld seien jedoch veraltet und es könne nicht ausgeschlossen werden, dass die Schuld zwischen 2007 und 2021 zurückgezahlt oder erlassen worden sei. Die Y AG versteuere in Frankreich einen Anteil am Ergebnis der X AG und müsse eine entsprechende Bilanz einreichen, in der die Forderung gegenüber der X AG erkennbar sei. Die von der französischen Finanzverwaltung vorgelegte Bilanz der Y AG zum 31. Dezember 2020 enthalte jedoch keine Forderung in entsprechender Höhe. Die ersuchende Behörde beabsichtige mit dem Amtshilfeersuchen, die behauptete Forderung der Y AG gegenüber der X AG per 1. Januar 2021 zu bestätigen oder zu widerlegen und so die steuerliche Auswirkung in Frankreich zu beurteilen.</w:t>
      </w:r>
    </w:p>
    <w:p/>
    <w:p>
      <w:pPr>
        <w:pStyle w:val="ListNumber"/>
      </w:pPr>
      <w:r>
        <w:t>Die ersuchende Behörde hat die ESTV für den Zeitraum vom 1. Januar 2020 bis 31. Dezember 2022 um nachstehende Informationen ersucht:</w:t>
        <w:br/>
        <w:br/>
        <w:t>„1. Bilan (actif et passif) arrêté au 31/12/2020 de la société Y AG.</w:t>
        <w:br/>
        <w:br/>
        <w:t>2. Grand Livre du compte de la société X AG ouvert dans la comptabilité de la société Y AG pour la période du 01/01/2021 au 31/12/2021.“</w:t>
      </w:r>
    </w:p>
    <w:p/>
    <w:p>
      <w:pPr>
        <w:pStyle w:val="ListNumber"/>
      </w:pPr>
      <w:r>
        <w:t>Die ersuchende Behörde erklärte, dass das Ersuchen ihrem innerstaatlichen Recht, ihrer Verwaltungspraxis und dem zugrundeliegenden Abkommen entspreche; dass die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unverhältnismäßigem Aufwand verbunden gewesen wären; dass sämtliche durch das vorliegende Ersuchen erhaltenen Auskünfte vertraulich behandelt und nur für solche Zwecke verwendet werden würden, die im zugrundeliegenden Abkommen genehmigt worden seien.</w:t>
      </w:r>
    </w:p>
    <w:p/>
    <w:p>
      <w:pPr>
        <w:pStyle w:val="ListNumber"/>
      </w:pPr>
      <w:r>
        <w:t>Nach Prüfung des Amtshilfeersuchens gelangte die ESTV zum Schluss, dass auf dieses einzutreten sei. Am 11. Juni 2024 ersuchte sie die schweizerische Gesellschaft Y AG sowie die Steuerverwaltung des Kantons Zürich mittels Editionsverfügungen, ihr die ersuchten Informationen zuzustellen. Die Steuerverwaltung des Kantons Zürich kam der Aufforderung der ESTV fristgerecht nach. Die Y AG übermittelte die ersuchten Informationen nach entsprechender Nachfrage per E-Mail am 21. Juni 2024. Auf Mitteilung der Y AG, dass die betroffene Person nicht über das Amtshilfeverfahren informiert worden sei, versandte die ESTV am 4. November 2024 die entsprechende Benachrichtigung an die beschwerdeberechtigte Person und setzte ihr eine Frist zur Stellungnahme oder Zustimmung zur Übermittlung der Informationen. Die beschwerdeberechtigte Person beantragte daraufhin eine Fristerstreckung, die von der ESTV gewährt wurde. Am 25. November 2024 reichte der Rechtsvertreter der Y AG eine Stellungnahme ein.</w:t>
      </w:r>
    </w:p>
    <w:p/>
    <w:p>
      <w:pPr>
        <w:pStyle w:val="ListNumber"/>
      </w:pPr>
      <w:r>
        <w:t>Mit Schreiben vom 25. November 2024 hat die beschwerdeberechtigte Person, vertreten durch die Kanzlei AG, gegenüber der ESTV gegen die Gewährung der Amtshilfe opponiert und ihre Stellungnahme zu den beabsichtigten Übermittlungen eingereicht.</w:t>
      </w:r>
    </w:p>
    <w:p/>
    <w:p>
      <w:pPr>
        <w:pStyle w:val="ListNumber"/>
      </w:pPr>
      <w:r>
        <w:t>Mit Schlussverfügung vom 6. Januar 2025 erkannte die Eidgenössische Steuerverwaltung (ESTV, nachfolgend auch: Vorinstanz), dass der ersuchenden Behörde Amtshilfe betreffend die X AG zu leisten und die ersuchten Informationen, namentlich die Jahresrechnung 2020 der Y AG sowie Auszüge aus den Buchhaltungskontodetails der Y AG bezüglich des Darlehenskontos gegenüber der X AG für den Zeitraum 1. Januar bis 31. Dezember 2021, zu übermitteln seien. Die von der beschwerdeberechtigten Person beantragten Einschränkungen hinsichtlich der Übermittlung und Schwärzungen wurden abgewiesen.</w:t>
      </w:r>
    </w:p>
    <w:p/>
    <w:p>
      <w:pPr>
        <w:pStyle w:val="ListNumber"/>
      </w:pPr>
      <w:r>
        <w:t xml:space="preserve">Gegen die Schlussverfügung der Eidgenössischen Steuerverwaltung vom 6. Januar 2025 erhebt die Y AG (nachfolgend auch: Beschwerdeführerin) am 4. Februar 2025 Beschwerde beim Bundesverwaltungsgericht. Sie stellt folgende Anträge: </w:t>
        <w:br/>
        <w:br/>
        <w:t>1. Die Schlussverfügung vom 6. Januar 2025 betreffend Amtshilfe gemäss DBA CH-FR auf Ersuchen der Direction de contrôle fiscal Sud-Est, Frankreich, vom 1. Mai 2024 sei vollumfänglich aufzuheben.</w:t>
        <w:br/>
        <w:br/>
        <w:t>2. Die Jahresrechnung 2020 der Beschwerdeführerin sei nicht zu übermitteln.</w:t>
        <w:br/>
        <w:br/>
        <w:t>3. Die im Auszug aus den Buchhaltungskontodetails der Beschwerdeführerin zum Konto Nr. XXX betreffend Darlehen gegenüber X AG vom 1. Januar bis 31. Dezember 2021 enthaltenen Informationen, die sich auf den Zeitraum nach dem 1. Januar 2021 beziehen, seien vor der Übermittlung zu schwärzen.</w:t>
        <w:br/>
        <w:br/>
        <w:t>4. Unter Kosten- und Entschädigungsfolgen (inkl. MWST) zulasten der Beschwerdegegnerin.</w:t>
      </w:r>
    </w:p>
    <w:p/>
    <w:p>
      <w:pPr>
        <w:pStyle w:val="ListNumber"/>
      </w:pPr>
      <w:r>
        <w:t>Mit Vernehmlassung vom 13. März 2025 beantragt die Vorinstanz, die Beschwerde sei abzuweisen.</w:t>
      </w:r>
    </w:p>
    <w:p/>
    <w:p>
      <w:pPr>
        <w:pStyle w:val="ListNumber"/>
      </w:pPr>
      <w:r>
        <w:t xml:space="preserve">Mit Replik vom 15. April 2025 nimmt die Beschwerdeführerin zur Vernehmlassung Stellung und bekräftigt ihre Anträge aus der Beschwerde. </w:t>
        <w:br/>
        <w:br/>
        <w:t>Mit Duplik vom 25. April 2025 äussert sich die Vorinstanz zu den Vorbringen der Beschwerdeführerin in der Replik und hält an ihren Anträgen aus der Vernehmlassung fest.</w:t>
      </w:r>
    </w:p>
    <w:p/>
    <w:p>
      <w:pPr>
        <w:pStyle w:val="ListNumber"/>
      </w:pPr>
      <w:r>
        <w:t>Auf die vorstehenden und die weiteren Vorbringen der Verfahrensbeteiligten sowie die Akten wird nachfolgend unter den Erwägungen insoweit eingegangen, als sie für den vorliegenden Entscheid wesentlich sind.</w:t>
      </w:r>
    </w:p>
    <w:p/>
    <w:p>
      <w:pPr>
        <w:pStyle w:val="Heading2"/>
      </w:pPr>
      <w:r>
        <w:t>Das Bundesverwaltungsgericht zieht in Erwägungen:</w:t>
      </w:r>
    </w:p>
    <w:p>
      <w:pPr>
        <w:pStyle w:val="ListNumber"/>
      </w:pPr>
      <w:r>
        <w:t>Gemäss Art. 31 des Bundesgesetzes vom 17. Juni 2005 über das Bundesverwaltungsgericht (VGG, SR 173.32) beurteilt dieses Gericht Beschwerden gegen Verfügungen nach Art. 19 des Bundesgesetzes vom 28. September 2012 über die internationale Amtshilfe in Steuersachen (StAhiG, SR 651.1). Die Eidgenössische Steuerverwaltung (ESTV) gehört als Behörde nach Art. 33 VGG zu den Vorinstanzen des Bundesverwaltungsgerichts. Eine das Sachgebiet betreffende Ausnahme im Sinne von Art. 32 VGG liegt nicht vor. Das Bundesverwaltungsgericht ist folglich für die Beurteilung der vorliegenden Sache zuständig.</w:t>
      </w:r>
    </w:p>
    <w:p/>
    <w:p>
      <w:pPr>
        <w:pStyle w:val="ListNumber"/>
      </w:pPr>
      <w:r>
        <w:t>Die Durchführung des DBA CH-FR richtet sich nach dem Bundesgesetz vom 28. September 2012 über die internationale Amtshilfe in Steuersachen (StAhiG, SR 651.1; Art. 1 Abs. 1 Bst. a StAhiG). Allenfalls abweichende Bestimmungen des vorliegend anwendbaren DBA CH-FR gehen vor (Art. 1 Abs. 2 StAhiG).</w:t>
      </w:r>
    </w:p>
    <w:p/>
    <w:p>
      <w:pPr>
        <w:pStyle w:val="ListNumber"/>
      </w:pPr>
      <w:r>
        <w:t>Das Beschwerdeverfahren richtet sich nach den Bestimmungen über die Bundesrechtspflege und somit nach dem VwVG, soweit das VGG oder das StAhiG nichts anderes bestimmen (Art. 5 Abs. 1 und Art. 19 Abs. 5 StAhiG, Art. 37 VGG).</w:t>
      </w:r>
    </w:p>
    <w:p/>
    <w:p>
      <w:pPr>
        <w:pStyle w:val="ListNumber"/>
      </w:pPr>
      <w:r>
        <w:t>Die Beschwerdeführerin ist als Informationsinhaberin gemäss Art. 48 Abs. 1 VwVG in Verbindung mit Art. 19 Abs. 2 StAhiG zur Beschwerde legitimiert.</w:t>
      </w:r>
    </w:p>
    <w:p/>
    <w:p>
      <w:pPr>
        <w:pStyle w:val="ListNumber"/>
      </w:pPr>
      <w:r>
        <w:t>Auf die frist- und formgerecht eingereichte Beschwerde ist folglich einzutreten (vgl. Art. 50 Abs. 1 und Art. 52 Abs. 1 VwVG).</w:t>
      </w:r>
    </w:p>
    <w:p/>
    <w:p>
      <w:pPr>
        <w:pStyle w:val="ListNumber"/>
      </w:pPr>
      <w:r>
        <w:t>Das Bundesverwaltungsgericht überprüft den angefochtenen Entscheid grundsätzlich in vollem Umfang. Die beschwerdeführende Partei kann mit der Beschwerde neben der Verletzung von Bundesrecht auch die unrichtige oder unvollständige Feststellung des rechtserheblichen Sachverhalts sowie die Unangemessenheit rügen (Art. 49 VwVG).</w:t>
      </w:r>
    </w:p>
    <w:p/>
    <w:p>
      <w:pPr>
        <w:pStyle w:val="ListNumber"/>
      </w:pPr>
      <w:r>
        <w:t>Das vorliegende Amtshilfeersuchen betrifft den Zeitraum vom 1. Januar 2020 bis 31. Dezember 2022 und stützt sich auf Artikel 28 DBA CH-FR in Verbindung mit Ziffer XI des Protokolls zum DBA CH-FR.</w:t>
      </w:r>
    </w:p>
    <w:p/>
    <w:p>
      <w:pPr>
        <w:pStyle w:val="ListNumber"/>
      </w:pPr>
      <w:r>
        <w:t>Gemäss Artikel 28 Absatz 1 DBA CH-FR tauschen die zuständigen Behörden der beiden Vertragsstaaten unter sich diejenigen Informationen aus, die für die Durchführung des Abkommens oder zur Anwendung oder Durchsetzung des innerstaatlichen Rechts betreffend Steuern vom Einkommen und Vermögen, die für Rechnung der Vertragsstaaten erhoben werden, voraussichtlich erheblich sind. Der Informationsaustausch ist dabei nicht durch sonstige Bestimmungen des Abkommens zum persönlichen oder sachlichen Geltungsbereich eingeschränkt.</w:t>
      </w:r>
    </w:p>
    <w:p/>
    <w:p>
      <w:pPr>
        <w:pStyle w:val="ListNumber"/>
      </w:pPr>
      <w:r>
        <w:t>Gemäss Ziffer XI Ziffer 1 des Protokolls zum DBA CH-FR besteht Einvernehmen darüber, dass die ersuchende Vertragspartei ein Amtshilfeersuchen erst stellt, nachdem sie alle in ihrem innerstaatlichen Steuerverfahren vorgesehenen üblichen Mittel zur Beschaffung der Informationen ausgeschöpft hat. Aufgrund des völkerrechtlichen Vertrauensprinzips besteht rechtsprechungsgemäss kein Anlass, an der von der ersuchenden Behörde abgegebenen Erklärung der Ausschöpfung aller üblichen innerstaatlichen Mittel zu zweifeln, sofern nicht konkrete Anhaltspunkte entgegenstehen.</w:t>
      </w:r>
    </w:p>
    <w:p/>
    <w:p>
      <w:pPr>
        <w:pStyle w:val="ListNumber"/>
      </w:pPr>
      <w:r>
        <w:t>Gemäss Ziffer XI Ziffer 2 des Protokolls zum DBA CH-FR sind die Steuerbehörden der ersuchenden Partei verpflichtet, im Amtshilfeersuchen: (i) die Identität der betroffenen Person, (ii) den Zeitraum, für den die Informationen verlangt werden, (iii) eine Beschreibung der verlangten Informationen sowie die gewünschte Form der Übermittlung, (iv) den Steuerzweck, für den die Informationen benötigt werden, und (v) soweit bekannt, den Namen und die Adresse des mutmasslichen Inhabers der Informationen anzugeben. Da das vorliegende Amtshilfeersuchen diese Angaben enthält, ist eine sog. «fishing expedition» auszuschliessen.</w:t>
      </w:r>
    </w:p>
    <w:p/>
    <w:p>
      <w:pPr>
        <w:pStyle w:val="ListNumber"/>
      </w:pPr>
      <w:r>
        <w:t>Der Informationsaustausch in Anwendung des DBA CH-FR bedingt die voraussichtliche Erheblichkeit der auszutauschenden Informationen. Gemäss Ziffer XI Ziffer 3 des Protokolls zum DBA CH-FR besteht Einvernehmen darüber, dass der Zweck der Verweisung auf Informationen, die «voraussichtlich erheblich» sind, darin besteht, einen möglichst weitgehenden Informationsaustausch in Steuerbelangen zu gewährleisten, ohne den Vertragsstaaten zu erlauben, «fishing expeditions» zu betreiben oder um Informationen zu ersuchen, deren Erheblichkeit hinsichtlich der Steuerbelange einer bestimmten steuerpflichtigen Person unwahrscheinlich ist. Die Voraussetzung der voraussichtlichen Erheblichkeit ist erfüllt, wenn im Zeitpunkt der Einreichung des Amtshilfeersuchens eine vernünftige Möglichkeit besteht, dass sich die verlangten Informationen als erheblich erweisen werden. Eine Information muss sich bereits aus dem Amtshilfeersuchen ergeben. Die Rolle des ersuchten Staates beschränkt sich bei der Beurteilung der voraussichtlichen Erheblichkeit auf eine Prüfung der Plausibilität des Ersuchens; dabei ist ausschlaggebend, ob die ersuchten Informationen einen Zusammenhang mit dem im Amtshilfeersuchen geschilderten Sachverhalt aufweisen und möglicherweise dazu geeignet sind, im ausländischen Verfahren verwendet zu werden. Der ersuchte Staat darf Auskünfte nur verweigern, wenn ein Zusammenhang zwischen den verlangten Angaben und der im ersuchenden Staat durchgeführten Untersuchung unwahrscheinlich erscheint. Der Begriff der voraussichtlichen Erheblichkeit stellt eine nicht sehr hohe Hürde für ein Amtshilfeersuchen dar.</w:t>
      </w:r>
    </w:p>
    <w:p/>
    <w:p>
      <w:pPr>
        <w:pStyle w:val="ListNumber"/>
      </w:pPr>
      <w:r>
        <w:t>Die Übermittlung von Informationen zu Personen, die nicht formell betroffene Personen sind, ist gemäss Art. 4 Abs. 3 StAhiG unzulässig, wenn diese Informationen für die Beurteilung der Steuersituation der betroffenen Person nicht voraussichtlich relevant sind oder wenn berechtigte Interessen von Personen, die nicht betroffene Personen sind, das Interesse der ersuchenden Seite an der Übermittlung der Informationen überwiegen. Rechtsprechungsgemäss ist der Begriff der «nicht betroffenen Person» nach Art. 4 Abs. 3 StAhiG restriktiv zu verstehen. Damit sollen in Anwendung des Verhältnismässigkeitsprinzips Personen geschützt werden, die nichts mit dem im Amtshilfeersuchen geschilderten Sachverhalt zu tun haben, deren Namen also rein zufällig in den weiterzuleitenden Dokumenten auftauchen. Können die ersuchten Informationen für die Steuerpflicht der im ersuchenden Staat zu besteuernden Person voraussichtlich erheblich sein und ist ihre Übermittlung unter Verhältnismässigkeitsgesichtspunkten erforderlich, so sind sie dem ersuchenden Staat zu übermitteln. Im vorliegenden Fall macht die Beschwerdeführerin geltend, dass die Jahresrechnung 2020 Informationen enthält, die sie als nicht betroffene Person betreffen, da sie nichts mit der Steuersituation der betroffenen X AG zu tun hat. Diese Frage ist vorliegend mit Blick auf die voraussichtliche Erheblichkeit und den Verhältnismässigkeitsgrundsatz zu prüfen.</w:t>
      </w:r>
    </w:p>
    <w:p/>
    <w:p>
      <w:pPr>
        <w:pStyle w:val="ListNumber"/>
      </w:pPr>
      <w:r>
        <w:t>Ein wichtiges Element der internationalen Behördenzusammenarbeit bildet das völkerrechtliche Vertrauensprinzip. Diesem Grundsatz nach besteht - ausser bei offensichtlichem Rechtsmissbrauch oder bei berechtigten Fragen im Zusammenhang mit dem Schutz des schweizerischen oder internationalen Ordre public (vgl. Art. 7 StAhiG) - prinzipiell kein Anlass, an Sachverhaltsdarstellungen und Erklärungen anderer Staaten zu zweifeln. Aufgrund des völkerrechtlichen Vertrauensprinzips ist die ersuchte Behörde an die Darstellung des Sachverhalts im Ersuchen insoweit gebunden, als diese nicht wegen offensichtlicher Fehler, Lücken oder Widersprüche sofort entkräftet werden kann. Das Vertrauensprinzip schliesst indessen nicht aus, dass der ersuchte Staat vom ersuchenden Staat zusätzliche Erklärungen verlangt, wenn ernsthafte Zweifel an der Einhaltung der völkerrechtlichen Grundsätze bestehen. Soweit die Behörden des ersuchenden Staates verpflichtet sind, den massgeblichen Sachverhalt darzulegen, kann von ihnen nicht erwartet werden, dass sie dies bereits lückenlos und völlig widerspruchsfrei tun. Dies wäre mit Sinn und Zweck der Amtshilfe nicht vereinbar, sollen doch aufgrund von Informationen und Unterlagen, die sich im ersuchten Staat befinden, bisher im Dunkeln gebliebene Punkte erst noch geklärt werden. Aus diesem Grund verlangt die Rechtsprechung von der ersuchenden Behörde nicht den strikten Beweis des Sachverhalts, sondern diese muss nur - aber immerhin - hinreichende Verdachtsmomente für dessen Vorliegen darlegen. Im vorliegenden Fall hat die ersuchende Behörde dargelegt, dass die X AG im Rahmen einer Steuerprüfung für die Jahre 2020 bis 2022 eine Schuld gegenüber der Y AG geltend macht und die vorgelegten Belege veraltet sind, weshalb die Überprüfung der Forderung der Y AG erforderlich erscheint. Daraus ergeben sich keine Anhaltspunkte, die gegen die Einhaltung des Vertrauensprinzips sprechen.</w:t>
      </w:r>
    </w:p>
    <w:p/>
    <w:p>
      <w:pPr>
        <w:pStyle w:val="ListNumber"/>
      </w:pPr>
      <w:r>
        <w:t>Das vorliegende Amtshilfeersuchen erfüllt die an ein solches gestellten formellen Anforderungen. Das Ersuchen bezieht sich auf einen konkreten Sachverhalt, der detailliert beschrieben ist. Die ersuchende Behörde legt dar, weshalb die ersuchten Informationen für die Besteuerung der betroffenen Person in Frankreich voraussichtlich erheblich sind. Von einer «fishing expedition» oder einer Anfrage aufs Geratewohl kann somit keine Rede sein. Soweit die Beschwerdeführerin geltend macht, es liege eine «fishing expedition» vor, weil die Informationen nicht voraussichtlich erheblich seien, ist dies unter dem Titel der voraussichtlichen Erheblichkeit zu prüfen.</w:t>
      </w:r>
    </w:p>
    <w:p/>
    <w:p>
      <w:pPr>
        <w:pStyle w:val="ListNumber"/>
      </w:pPr>
      <w:r>
        <w:t>Die Beschwerdeführerin macht eine Verletzung des Subsidiaritätsprinzips geltend, da sie vorbringt, die ersuchende Behörde habe die üblichen innerstaatlichen Mittel nicht ausgeschöpft. Aus der Schlussverfügung vom 6. Januar 2025 geht jedoch hervor, dass die ersuchende Behörde erklärt hat, alle auf dem eigenen Staatsgebiet zur Verfügung stehenden Mittel ausgeschöpft zu haben, mit Ausnahme solcher, die mit unverhältnismäßigem Aufwand verbunden gewesen wären. Die ersuchende Behörde hat den Sachverhalt im Rahmen der innerstaatlichen Untersuchung soweit abgeklärt, dass sie das vorliegende Amtshilfeersuchen stellen konnte. Mit dem Vorbringen der Beschwerdeführerin gelingt es nicht, ernsthafte Zweifel an der Richtigkeit der Erklärung der ersuchenden Behörde zur Ausschöpfung der üblichen innerstaatlichen Mittel zu begründen oder diese sofort zu entkräften. Entsprechend ist das Subsidiaritätsprinzip vorliegend eingehalten.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