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(nachfolgend: betroffene Person). Als Informationsinhaberin wurde die Y AG (nachfolgend: schweizerische Gesellschaft) genannt.</w:t>
      </w:r>
    </w:p>
    <w:p/>
    <w:p>
      <w:pPr>
        <w:pStyle w:val="ListNumber"/>
      </w:pPr>
      <w:r>
        <w:t>Auf die vorstehenden Ausführungen sowie auf die weiteren Vorbringen der Verfahrensbeteiligten und die Akten wird im Folgenden unter den Erwägungen insoweit eingegangen, als sie für den vorliegenden Entscheid von Wesentlichkeit sind.</w:t>
      </w:r>
    </w:p>
    <w:p/>
    <w:p>
      <w:pPr>
        <w:pStyle w:val="Heading2"/>
      </w:pPr>
      <w:r>
        <w:t>Das Bundesverwaltungsgericht zieht in Erwägungen:</w:t>
      </w:r>
    </w:p>
    <w:p>
      <w:pPr>
        <w:pStyle w:val="ListNumber"/>
      </w:pPr>
      <w:r>
        <w:t>Gemäss Art. 19 Abs. 5 des Bundesgesetzes vom 28. September 2012 über die internationale Amtshilfe in Steuersachen (StAhiG; SR 651.1) in Verbindung mit Art. 31 VGG und Art. 47 Abs. 1 lit. b VwVG beurteilt das Bundesverwaltungsgericht Beschwerden gegen Verfügungen der Eidgenössischen Steuerverwaltung (ESTV) im Amtshilfeverfahren. Die ESTV ist im Sinne von Art. 33 VGG als Vorinstanz dem Bundesverwaltungsgericht zugeordnet. Es liegen keine Ausnahmen gemäss Art. 32 VGG vor. Somit ist das Bundesverwaltungsgericht für die Beurteilung der vorliegenden Beschwerde zuständig.</w:t>
      </w:r>
    </w:p>
    <w:p/>
    <w:p>
      <w:pPr>
        <w:pStyle w:val="ListNumber"/>
      </w:pPr>
      <w:r>
        <w:t>Die Durchführung des DBA CH-DE richtet sich nach dem Bundesgesetz vom 28. September 2012 über die internationale Amtshilfe in Steuersachen (StAhiG, SR 651.1; Art. 1 Abs. 1 Bst. a StAhiG). Allenfalls abweichende Bestimmungen des vorliegend anwendbaren DBA CH-DE gehen vor (Art. 1 Abs. 2 StAhiG).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