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Urteil in Amtshilfeverfahren</w:t>
      </w:r>
    </w:p>
    <w:p>
      <w:pPr>
        <w:pStyle w:val="Heading2"/>
      </w:pPr>
      <w:r>
        <w:t>Sachverhalt:</w:t>
      </w:r>
    </w:p>
    <w:p>
      <w:pPr>
        <w:pStyle w:val="ListNumber"/>
      </w:pPr>
      <w:r>
        <w:t>Am 1. Mai 2024 richtete die Direction de contrôle fiscal Sud-Est, Frankreich (nachfolgend: ersuchende Behörde), gestützt auf Artikel 28 des Abkommens vom 9. September 1966 zwischen der Schweiz und Frankreich zur Vermeidung der Doppelbesteuerung auf dem Gebiet der Steuern vom Einkommen und vom Vermögen und zur Vermeidung von Steuerbetrug und Steuerflucht (SR 0.672.934.91, nachfolgend: DBA CH-FR), ein Amtshilfeersuchen an die Eidgenössische Steuerverwaltung (ESTV) betreffend die X AG (nachfolgend: betroffene Person). Als Informationsinhaberin wurde die Y AG (nachfolgend: schweizerische Gesellschaft) benannt.</w:t>
      </w:r>
    </w:p>
    <w:p/>
    <w:p>
      <w:pPr>
        <w:pStyle w:val="ListNumber"/>
      </w:pPr>
      <w:r>
        <w:t>Auf die vorstehenden und die weiteren Vorbringen der Verfahrensbeteiligten sowie die Akten wird nachfolgend unter den Erwägungen insoweit eingegangen, als sie für den vorliegenden Entscheid wesentlich sind.</w:t>
      </w:r>
    </w:p>
    <w:p/>
    <w:p>
      <w:pPr>
        <w:pStyle w:val="Heading2"/>
      </w:pPr>
      <w:r>
        <w:t>Das Bundesverwaltungsgericht zieht in Erwägungen:</w:t>
      </w:r>
    </w:p>
    <w:p>
      <w:pPr>
        <w:pStyle w:val="ListNumber"/>
      </w:pPr>
      <w:r>
        <w:t>Gestützt auf Art. 19 Abs. 5 des Bundesgesetzes vom 28. September 2012 über die internationale Amtshilfe in Steuersachen (StAhiG; SR 651.1) i.V.m. Art. 31 VGG und Art. 47 Abs. 1 lit. b VwVG ist das Bundesverwaltungsgericht zur Beurteilung der gegen die Schlussverfügung der Eidgenössischen Steuerverwaltung (ESTV) vom 6. Januar 2025 erhobenen Beschwerde zuständig. Die ESTV bildet als Vorinstanz nach Art. 33 VGG die zuständige Behörde, und es liegt keine sachgebietsbezogene Ausnahme gemäss Art. 32 VGG vor. Das Bundesverwaltungsgericht ist somit grundsätzlich zuständig für die Beurteilung des vorliegenden Verfahrens.</w:t>
      </w:r>
    </w:p>
    <w:p/>
    <w:p>
      <w:pPr>
        <w:pStyle w:val="ListNumber"/>
      </w:pPr>
      <w:r>
        <w:t>Die Durchführung des DBA CH-FR richtet sich nach dem Bundesgesetz vom 28. September 2012 über die internationale Amtshilfe in Steuersachen (StAhiG, SR 651.1; Art. 1 Abs. 1 Bst. a StAhiG). Abweichende Bestimmungen des vorliegenden Abkommens vom 9. September 1966 zwischen der Schweiz und Frankreich zur Vermeidung der Doppelbesteuerung auf dem Gebiet der Steuern vom Einkommen und vom Vermögen und zur Vermeidung von Steuerbetrug und Steuerflucht (DBA CH-FR; SR 0.672.934.91) gehen vorbehaltlich des Protokolls, welches integraler Bestandteil des DBA CH-FR ist, den allgemeinen Bestimmungen des StAhiG vor (Art. 1 Abs. 2 StAhiG).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