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Schweizerischen Eidgenossenschaft und Frankreich zur Vermeidung der Doppelbesteuerung auf dem Gebiet der Steuern vom Einkommen und vom Vermögen und zur Vermeidung von Steuerbetrug und Steuerflucht (SR 0.672.934.91, nachfolgend: DBA CH-FR), ein Amtshilfeersuchen an die Eidgenössische Steuerverwaltung (ESTV) betreffend X AG, gegründet am 1. Januar 2002, gelöscht am 26. Januar 2024, mit letzter bekannter Adresse in Frankreich (nachfolgend auch: betroffene Person). Als Informationsinhaberin wurde die Y AG, mit Sitz an der Strasse 5, 6334 Zürich (nachfolgend: schweizerische Gesellschaft), bezeichnet.</w:t>
      </w:r>
    </w:p>
    <w:p/>
    <w:p>
      <w:pPr>
        <w:pStyle w:val="ListNumber"/>
      </w:pPr>
      <w:r>
        <w:t>Die ersuchende Behörde hat zum Sachverhalt im Wesentlichen Folgendes ausgeführt: Die X AG befinde sich derzeit im Rahmen einer Steuerprüfung durch die französische Steuerverwaltung für die Periode vom 1. Januar 2020 bis 31. Dezember 2022. Die Gesellschaft sei eine monegassische Gesellschaft mit Sitz in Monte Carlo, die über eine Betriebsstätte in Frankreich verfüge und dort Steuererklärungen abgebe, da sie Eigentümerin einer Luxusimmobilie in den Alpes-Maritimes sei. Im Verlauf der Prüfung habe die X AG angegeben, per 1. Januar 2021 mit einem Betrag von 3.000.000 Euro gegenüber ihrer Hauptaktionärin, der schweizerischen Y AG, verschuldet zu sein. Die hierfür vorgelegten Nachweise seien jedoch veraltet (vor dem Jahr 2007), und die Schuld könne im Zeitraum zwischen 2007 und 2021 beglichen oder erlassen worden sein. Die Y AG sei in Frankreich aufgrund ihrer Beteiligung an der X AG körperschaftsteuerpflichtig und habe für den 31. Dezember 2020 eine Bilanz vorgelegt. In diesem Bilanzdokument hätte die Forderung in Höhe von 3.000.000 Euro gegenüber ihrer Tochtergesellschaft ausgewiesen sein müssen; ein entsprechender Aktivposten sei jedoch in den der französischen Steuerverwaltung vorgelegten Unterlagen nicht enthalten. Ziel des Amtshilfeersuchens sei es, die Existenz oder Nichtexistenz dieser Forderung per 1. Januar 2021 zu bestätigen oder zu widerlegen, da die ersuchten Dokumente und Informationen für die französische Steuerverwaltung erforderlich seien, um die Höhe der vermeintlich hinterzogenen Steuern festzustellen.</w:t>
      </w:r>
    </w:p>
    <w:p/>
    <w:p>
      <w:pPr>
        <w:pStyle w:val="ListNumber"/>
      </w:pPr>
      <w:r>
        <w:t>Die ersuchende Behörde hat die Eidgenössische Steuerverwaltung (ESTV) für den Zeitraum vom 1. Januar 2020 bis 31. Dezember 2022 um folgende Informationen über die schweizerische Gesellschaft Y AG ersucht:</w:t>
        <w:br/>
        <w:br/>
        <w:t>«1. Bilan (actif et passif) arrêté au 31/12/2020 de la société Y AG.</w:t>
        <w:br/>
        <w:t>2. Grand Livre du compte de la société X AG ouvert dans la comptabilité de la société Y AG pour la période du 01/01/2021 au 31/12/2021.»</w:t>
      </w:r>
    </w:p>
    <w:p/>
    <w:p>
      <w:pPr>
        <w:pStyle w:val="ListNumber"/>
      </w:pPr>
      <w:r>
        <w:t>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dass sämtliche durch das vorliegende Ersuchen erhaltenen Auskünfte vertraulich behandelt und nur für solche Zwecke verwendet werden würden, die im zugrundeliegenden Abkommen genehmigt worden seien.</w:t>
      </w:r>
    </w:p>
    <w:p/>
    <w:p>
      <w:pPr>
        <w:pStyle w:val="ListNumber"/>
      </w:pPr>
      <w:r>
        <w:t>Nach Prüfung des Amtshilfeersuchens gelangte die Eidgenössische Steuerverwaltung (ESTV) zum Schluss, dass auf dieses einzutreten sei. Daraufhin ersuchte sie am 11. Juni 2024 die schweizerische Gesellschaft Y AG mittels Editionsverfügung, ihr die ersuchten Informationen zuzustellen, und gleichzeitig informierte sie die betroffene Person über das Amtshilfeverfahren und setzte ihr eine Frist zur Benennung einer bevollmächtigten Person oder zur Zustimmung zur Informationsübermittlung. Ferner ersuchte die ESTV am selben Tag die Steuerverwaltung des Kantons Zürich mittels Editionsverfügung, ihr die vorhandenen Informationen zu übermitteln. Die Steuerverwaltung des Kantons Zürich sowie die Y AG sind der Aufforderung der ESTV fristgerecht beziehungsweise auf Nachfrage hin vollständig nachgekommen. Die Y AG gab ferner an, dass die betroffene Person über das Amtshilfeverfahren nicht informiert worden sei. Nachfolgend erfolgte mit Schreiben vom 4. November 2024 die Information der beschwerdeberechtigten Person durch die ESTV über das Verfahren sowie die vorgesehenen Informationsübermittlungen; die Beschwerdeberechtigte beantragte daraufhin eine Fristverlängerung zur Abgabe einer Stellungnahme, welcher die ESTV teilweise entsprach.</w:t>
      </w:r>
    </w:p>
    <w:p/>
    <w:p>
      <w:pPr>
        <w:pStyle w:val="ListNumber"/>
      </w:pPr>
      <w:r>
        <w:t>Mit Schreiben vom 25. November 2024 an die Eidgenössische Steuerverwaltung hat die beschwerdeberechtigte Person, vertreten durch Rechtsanwälte der Kanzlei AG, gegen die Gewährung der Amtshilfe opponiert und insbesondere die Übermittlung der Jahresrechnung 2020 sowie die ungeschwärzte Übermittlung der Buchhaltungskontodetails betreffend Darlehen gegenüber der X AG für den Zeitraum nach dem 1. Januar 2021 beanstandet.</w:t>
      </w:r>
    </w:p>
    <w:p/>
    <w:p>
      <w:pPr>
        <w:pStyle w:val="ListNumber"/>
      </w:pPr>
      <w:r>
        <w:t>Mit Schlussverfügung vom 6. Januar 2025 erkannte die Eidgenössische Steuerverwaltung (ESTV, nachfolgend auch: Vorinstanz), dass der ersuchenden Behörde Amtshilfe betreffend die X AG zu leisten und die ersuchten Informationen, namentlich die Jahresrechnung 2020 der Y AG sowie Auszüge aus den Buchhaltungskontodetails zum Darlehenskonto gegenüber der X AG für den Zeitraum vom 1. Januar bis 31. Dezember 2021, zu übermitteln seien. Eine Ausnahmeregelung in Form einer Schwärzung einzelner Informationen wurde nicht vorgenommen.</w:t>
      </w:r>
    </w:p>
    <w:p/>
    <w:p>
      <w:pPr>
        <w:pStyle w:val="ListNumber"/>
      </w:pPr>
      <w:r>
        <w:t>Gegen die Schlussverfügung der Eidgenössischen Steuerverwaltung (ESTV) vom 6. Januar 2025 lässt die Y AG (nachfolgend auch: Beschwerdeführerin) am 4. Februar 2025 Beschwerde beim Bundesverwaltungsgericht erheben. Sie stellt folgende Anträge: Die Schlussverfügung vom 6. Januar 2025 betreffend Amtshilfe gemäss DBA CH-FR auf Ersuchen der Direction de contrôle fiscal Sud-Est, Frankreich, vom 1. Mai 2024 sei vollumfänglich aufzuheben; die Jahresrechnung 2020 der Beschwerdeführerin sei nicht zu übermitteln; die im Auszug aus den Buchhaltungskontodetails der Beschwerdeführerin zum Konto Nr. XXX betreffend Darlehen gegenüber X AG vom 1. Januar bis 31. Dezember 2021 enthaltenen Informationen, die sich auf den Zeitraum nach dem 1. Januar 2021 beziehen, seien vor der Übermittlung zu schwärzen; sowie eventualiter sei die Nichtübermittlung und die Schwärzung in der Schlussverfügung festzuhalten.</w:t>
      </w:r>
    </w:p>
    <w:p/>
    <w:p>
      <w:pPr>
        <w:pStyle w:val="ListNumber"/>
      </w:pPr>
      <w:r>
        <w:t>Mit Vernehmlassung vom 18. März 2025 beantragt die Vorinstanz, die Beschwerde sei kostenpflichtig abzuweisen.</w:t>
      </w:r>
    </w:p>
    <w:p/>
    <w:p>
      <w:pPr>
        <w:pStyle w:val="ListNumber"/>
      </w:pPr>
      <w:r>
        <w:t>Ohne Vorliegen von Angaben zum weiteren Schriftwechsel zwischen den Verfahrensbeteiligten sind keine weiteren Absätze zu ergänzen.</w:t>
      </w:r>
    </w:p>
    <w:p/>
    <w:p>
      <w:pPr>
        <w:pStyle w:val="ListNumber"/>
      </w:pPr>
      <w:r>
        <w:t>Auf die vorstehenden und die weiteren Vorbringen der Verfahrensbeteiligten sowie die Akten wird nachfolgend unter den Erwägungen insoweit eingegangen, als sie für den vorliegenden Entscheid wesentlich sind.</w:t>
      </w:r>
    </w:p>
    <w:p/>
    <w:p>
      <w:pPr>
        <w:pStyle w:val="Heading2"/>
      </w:pPr>
      <w:r>
        <w:t>Das Bundesverwaltungsgericht zieht in Erwägungen:</w:t>
      </w:r>
    </w:p>
    <w:p>
      <w:pPr>
        <w:pStyle w:val="ListNumber"/>
      </w:pPr>
      <w:r>
        <w:t>Gemäss Artikel 31 des Bundesgesetzes vom 17. Juni 2005 über das Bundesverwaltungsgericht (VGG, SR 173.32) beurteilt dieses Gericht Beschwerden gegen Verfügungen nach Artikel 19 des Bundesgesetzes vom 28. September 2012 über die internationale Amtshilfe in Steuersachen (StAhiG, SR 651.1). Die Eidgenössische Steuerverwaltung (ESTV) gehört als Vorinstanz nach Artikel 33 VGG zu den Vorinstanzen des Bundesverwaltungsgerichts. Eine Ausnahme gemäss Artikel 32 VGG liegt nicht vor. Das Bundesverwaltungsgericht ist somit für die Beurteilung der vorliegenden Beschwerde zuständig.</w:t>
      </w:r>
    </w:p>
    <w:p/>
    <w:p>
      <w:pPr>
        <w:pStyle w:val="ListNumber"/>
      </w:pPr>
      <w:r>
        <w:t>Die Durchführung des DBA CH-FR richtet sich nach dem Bundesgesetz vom 28. September 2012 über die internationale Amtshilfe in Steuersachen (StAhiG, SR 651.1; Art. 1 Abs. 1 lit. a StAhiG). Abweichende Bestimmungen des vorliegenden DBA CH-FR gehen diesen vor (Art. 1 Abs. 2 StAhiG).</w:t>
      </w:r>
    </w:p>
    <w:p/>
    <w:p>
      <w:pPr>
        <w:pStyle w:val="ListNumber"/>
      </w:pPr>
      <w:r>
        <w:t>Das Beschwerdeverfahren richtet sich nach den Bestimmungen über die Bundesrechtspflege und somit nach dem VwVG, soweit das VGG oder das StAhiG nichts anderes bestimmen (Art. 5 Abs. 1 und Art. 19 Abs. 5 StAhiG, Art. 37 VGG).</w:t>
      </w:r>
    </w:p>
    <w:p/>
    <w:p>
      <w:pPr>
        <w:pStyle w:val="ListNumber"/>
      </w:pPr>
      <w:r>
        <w:t>Die Beschwerdeführerin ist als Informationsinhaberin gemäss Artikel 48 Absatz 1 VwVG in Verbindung mit Artikel 19 Absatz 2 StAhiG zur Beschwerde legitimiert.</w:t>
      </w:r>
    </w:p>
    <w:p/>
    <w:p>
      <w:pPr>
        <w:pStyle w:val="ListNumber"/>
      </w:pPr>
      <w:r>
        <w:t>Auf die frist- und formgerecht erhobene Beschwerde ist daher einzutreten (vgl. Art. 50 Abs. 1 und Art. 52 Abs. 1 VwVG).</w:t>
      </w:r>
    </w:p>
    <w:p/>
    <w:p>
      <w:pPr>
        <w:pStyle w:val="ListNumber"/>
      </w:pPr>
      <w:r>
        <w:t>Das Bundesverwaltungsgericht überprüft den angefochtenen Entscheid grundsätzlich in vollem Umfang. Die Beschwerdeführerin kann mit der Beschwerde neben der Verletzung von Bundesrecht auch die unrichtige oder unvollständige Feststellung des rechtserheblichen Sachverhalts sowie die Unangemessenheit geltend machen (Art. 49 VwVG).</w:t>
      </w:r>
    </w:p>
    <w:p/>
    <w:p>
      <w:pPr>
        <w:pStyle w:val="ListNumber"/>
      </w:pPr>
      <w:r>
        <w:t>Das vorliegende Amtshilfeersuchen betrifft den Zeitraum vom 1. Januar 2020 bis 31. Dezember 2022 und stützt sich auf Artikel 28 DBA CH-FR in Verbindung mit Ziffer XI des Protokolls zum DBA CH-FR.</w:t>
      </w:r>
    </w:p>
    <w:p/>
    <w:p>
      <w:pPr>
        <w:pStyle w:val="ListNumber"/>
      </w:pPr>
      <w:r>
        <w:t>Gemäss Artikel 28 Absatz 1 DBA CH-FR tauschen die zuständigen Behörden der Vertragsstaaten unter sich diejenigen Informationen aus, die für die Durchführung des Abkommens oder für die Anwendung oder Durchsetzung des innerstaatlichen Steuerrechts voraussichtlich erheblich sind, soweit die entsprechende Besteuerung nicht dem Abkommen widerspricht. Der Informationsaustausch im Sinne von Artikel 28 DBA CH-FR wird nicht durch die persönlichen oder sachlichen Geltungsbereiche des Abkommens eingeschränkt.</w:t>
      </w:r>
    </w:p>
    <w:p/>
    <w:p>
      <w:pPr>
        <w:pStyle w:val="ListNumber"/>
      </w:pPr>
      <w:r>
        <w:t>Gemäss Ziffer XI des Protokolls zum DBA CH-FR stellt die ersuchende Behörde ein Amtshilfeersuchen erst, wenn sie alle in ihrem innerstaatlichen Steuerverfahren vorgesehenen üblichen Mittel zur Beschaffung der Informationen ausgeschöpft hat (Subsidiaritätsprinzip). Aufgrund des völkerrechtlichen Vertrauensprinzips besteht rechtsprechungsgemäss kein Anlass, an der von der ersuchenden Behörde abgegebenen Erklärung über die Ausschöpfung aller üblichen innerstaatlichen Mittel zu zweifeln, sofern nicht konkrete Anhaltspunkte für das Gegenteil vorliegen.</w:t>
      </w:r>
    </w:p>
    <w:p/>
    <w:p>
      <w:pPr>
        <w:pStyle w:val="ListNumber"/>
      </w:pPr>
      <w:r>
        <w:t>Gemäss Ziffer XI des Protokolls zum DBA CH-FR haben die Steuerbehörden des ersuchenden Staates bei der Stellung eines Amtshilfebegehrens sämtliche folgenden Angaben zu machen: (i) die Identität der in die Überprüfung einbezogenen Person; (ii) die Zeitperiode, für die die Informationen verlangt werden; (iii) eine Beschreibung der verlangten Informationen sowie Angaben zur gewünschten Form der Übermittlung; (iv) den Steuerzweck, für den die Informationen benötigt werden; (v) soweit bekannt, den Namen und die Adresse des mutmasslichen Inhabers der verlangten Informationen. Enthält das Amtshilfeersuchen diese Angaben, kann eine sogenannte «fishing expedition» ausgeschlossen werden.</w:t>
      </w:r>
    </w:p>
    <w:p/>
    <w:p>
      <w:pPr>
        <w:pStyle w:val="ListNumber"/>
      </w:pPr>
      <w:r>
        <w:t>Der Informationsaustausch gemäss DBA CH-FR setzt die voraussichtliche Erheblichkeit der ersuchten Informationen voraus. Gemäss Ziffer XI des Protokolls zum DBA CH-FR dient die Voraussetzung der voraussichtlichen Erheblichkeit dazu, einen weitgehenden Informationsaustausch zu ermöglichen und gleichzeitig «fishing expeditions» zu verhindern, bei denen Informationen verlangt werden, deren Relevanz für die Steuerbelange einer bestimmten Person unwahrscheinlich ist. Die voraussichtliche Erheblichkeit ist erfüllt, wenn bei Einreichung des Amtshilfeersuchens eine vernünftige Möglichkeit besteht, dass sich die verlangten Informationen als relevant erweisen. Es ist unerheblich, ob die Informationen nach deren Übermittlung für die ersuchende Behörde tatsächlich von Bedeutung sind. Die voraussichtliche Erheblichkeit muss sich bereits aus dem Amtshilfeersuchen ergeben. Die Rolle der ersuchten Behörde beschränkt sich auf die Prüfung der Plausibilität des Ersuchens, insbesondere ob die verlangten Informationen in einem Zusammenhang mit dem geschilderten Sachverhalt stehen und geeignet sein könnten, im ausländischen Verfahren Verwendung zu finden. Informationen dürfen nur verweigert werden, wenn ein Zusammenhang zwischen den verlangten Angaben und der von der ersuchenden Behörde durchgeführten Untersuchung als wenig wahrscheinlich erscheint. Der Begriff der voraussichtlichen Erheblichkeit stellt somit eine vergleichsweise geringe Hürde für die Gewährung von Amtshilfe dar.</w:t>
      </w:r>
    </w:p>
    <w:p/>
    <w:p>
      <w:pPr>
        <w:pStyle w:val="ListNumber"/>
      </w:pPr>
      <w:r>
        <w:t>Die Übermittlung von Informationen zu Personen, die nicht formell betroffene Personen sind, ist gemäss Artikel 4 Absatz 3 StAhiG unzulässig, wenn diese Informationen für die Beurteilung der Steuersituation der betroffenen Person nicht voraussichtlich erheblich sind oder wenn berechtigte Interessen von nicht betroffenen Personen das Interesse der ersuchenden Behörde an der Übermittlung der Informationen überwiegen. Der Begriff der «nicht betroffenen Person» ist restriktiv zu verstehen und schützt Personen, die nichts mit dem Amtshilfeersuchen geschilderten Sachverhalt zu tun haben. Im vorliegenden Fall beansprucht die Beschwerdeführerin als Informationsinhaberin den Status einer nicht betroffenen Person und beruft sich darauf, dass die verlangten Informationen nur ihre eigenen steuerlichen Verhältnisse betreffen, welche für die Steuerpflicht der betroffenen X AG in Frankreich nicht voraussichtlich erheblich seien. Eine Prüfung, ob berechtigte Interessen der Beschwerdeführerin gegenüber dem Übermittlungsinteresse der ersuchenden Behörde überwiegen, ist daher vorzunehmen.</w:t>
      </w:r>
    </w:p>
    <w:p/>
    <w:p>
      <w:pPr>
        <w:pStyle w:val="ListNumber"/>
      </w:pPr>
      <w:r>
        <w:t>Das vorliegende Amtshilfeersuchen erfüllt die an ein solches gestellten formellen Anforderungen. Es bezieht sich auf einen konkreten Sachverhalt, der ausführlich dargelegt ist, und die ersuchende Behörde legt dar, weshalb die verlangten Informationen voraussichtlich erheblich für die Besteuerung der betroffenen Person in Frankreich sind. Von einer «fishing expedition» kann daher keine Rede sein. Soweit die Beschwerdeführerin eine solche behauptet, ist dies im Rahmen der Prüfung der voraussichtlichen Erheblichkeit zu beurteilen.</w:t>
      </w:r>
    </w:p>
    <w:p/>
    <w:p>
      <w:pPr>
        <w:pStyle w:val="ListNumber"/>
      </w:pPr>
      <w:r>
        <w:t>Die Beschwerdeführerin rügt eine Verletzung des Subsidiaritätsprinzips, indem sie vorbringt, die ersuchende Behörde habe die üblichen innerstaatlichen Mittel zur Beschaffung der angeforderten Informationen nicht ausgeschöpft. Aus der Schlussverfügung vom 6. Januar 2025 geht jedoch hervor, dass die ersuchende Behörde erklärt hat, alle auf ihrem Staatsgebiet verfügbaren Mittel ausgeschöpft zu haben, mit Ausnahme solcher, die mit unverhältnismäßigem Aufwand verbunden gewesen wären. Zudem hat die ersuchende Behörde den Sachverhalt im Rahmen der innerstaatlichen Untersuchung so präzise abgeklärt, dass sie auf dieser Grundlage das vorliegende Amtshilfeersuchen stellen konnte. Damit vermag die Beschwerdeführerin keine ernsthaften Zweifel an der Richtigkeit dieser Erklärung zu begründen. Entsprechend ist das Subsidiaritätsprinzip im vorliegenden Fall eingehalten.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