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Document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paper includes regular figures (</w:t>
      </w:r>
      <w:hyperlink w:anchor="fig-main">
        <w:r>
          <w:rPr>
            <w:rStyle w:val="Hyperlink"/>
          </w:rPr>
          <w:t xml:space="preserve">Figure 1</w:t>
        </w:r>
      </w:hyperlink>
      <w:r>
        <w:t xml:space="preserve">), extended tables (</w:t>
      </w:r>
      <w:hyperlink w:anchor="etbl-data">
        <w:r>
          <w:rPr>
            <w:rStyle w:val="Hyperlink"/>
          </w:rPr>
          <w:t xml:space="preserve">Extended Table 1</w:t>
        </w:r>
      </w:hyperlink>
      <w:r>
        <w:t xml:space="preserve">),</w:t>
      </w:r>
      <w:r>
        <w:t xml:space="preserve"> </w:t>
      </w:r>
      <w:r>
        <w:t xml:space="preserve">and supplementary figures (</w:t>
      </w:r>
      <w:hyperlink w:anchor="suppfig-additional">
        <w:r>
          <w:rPr>
            <w:rStyle w:val="Hyperlink"/>
          </w:rPr>
          <w:t xml:space="preserve">Supplementary Figure 1</w:t>
        </w:r>
      </w:hyperlink>
      <w:r>
        <w:t xml:space="preserve">). Notice the order of the display items in the rendered document is controlled by the</w:t>
      </w:r>
      <w:r>
        <w:t xml:space="preserve"> </w:t>
      </w:r>
      <w:r>
        <w:rPr>
          <w:rStyle w:val="VerbatimChar"/>
        </w:rPr>
        <w:t xml:space="preserve">display-item-order</w:t>
      </w:r>
      <w:r>
        <w:t xml:space="preserve"> </w:t>
      </w:r>
      <w:r>
        <w:t xml:space="preserve">metadata.</w:t>
      </w:r>
    </w:p>
    <w:p>
      <w:pPr>
        <w:pStyle w:val="BodyText"/>
      </w:pPr>
      <w:r>
        <w:t xml:space="preserve"> </w:t>
      </w:r>
    </w:p>
    <w:bookmarkEnd w:id="20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main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fig-main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Main analysis</w:t>
            </w:r>
          </w:p>
          <w:bookmarkEnd w:id="24"/>
        </w:tc>
      </w:tr>
    </w:tbl>
    <w:p>
      <w:pPr>
        <w:pStyle w:val="Heading2"/>
      </w:pPr>
      <w:r>
        <w:t xml:space="preserve">Supplementary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fig-additional"/>
          <w:p>
            <w:pPr>
              <w:pStyle w:val="Captioned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Supplementary analysis" title="" id="26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unnamed-chunk-2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center"/>
            </w:pPr>
            <w:r>
              <w:t xml:space="preserve">Supplementary analysis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</w:t>
            </w:r>
          </w:p>
          <w:bookmarkEnd w:id="28"/>
        </w:tc>
      </w:tr>
    </w:tbl>
    <w:p>
      <w:pPr>
        <w:pStyle w:val="Heading2"/>
      </w:pPr>
      <w:r>
        <w:t xml:space="preserve">Extended Tables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etbl-data"/>
          <w:p>
            <w:pPr>
              <w:pStyle w:val="SourceCode"/>
              <w:jc w:val="center"/>
            </w:pPr>
            <w:r>
              <w:rPr>
                <w:rStyle w:val="NormalTok"/>
              </w:rPr>
              <w:t xml:space="preserve">pressure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temperature pressure</w:t>
            </w:r>
            <w:r>
              <w:br/>
            </w:r>
            <w:r>
              <w:rPr>
                <w:rStyle w:val="VerbatimChar"/>
              </w:rPr>
              <w:t xml:space="preserve">1            0   0.0002</w:t>
            </w:r>
            <w:r>
              <w:br/>
            </w:r>
            <w:r>
              <w:rPr>
                <w:rStyle w:val="VerbatimChar"/>
              </w:rPr>
              <w:t xml:space="preserve">2           20   0.0012</w:t>
            </w:r>
            <w:r>
              <w:br/>
            </w:r>
            <w:r>
              <w:rPr>
                <w:rStyle w:val="VerbatimChar"/>
              </w:rPr>
              <w:t xml:space="preserve">3           40   0.0060</w:t>
            </w:r>
            <w:r>
              <w:br/>
            </w:r>
            <w:r>
              <w:rPr>
                <w:rStyle w:val="VerbatimChar"/>
              </w:rPr>
              <w:t xml:space="preserve">4           60   0.0300</w:t>
            </w:r>
            <w:r>
              <w:br/>
            </w:r>
            <w:r>
              <w:rPr>
                <w:rStyle w:val="VerbatimChar"/>
              </w:rPr>
              <w:t xml:space="preserve">5           80   0.0900</w:t>
            </w:r>
            <w:r>
              <w:br/>
            </w:r>
            <w:r>
              <w:rPr>
                <w:rStyle w:val="VerbatimChar"/>
              </w:rPr>
              <w:t xml:space="preserve">6          100   0.2700</w:t>
            </w:r>
            <w:r>
              <w:br/>
            </w:r>
            <w:r>
              <w:rPr>
                <w:rStyle w:val="VerbatimChar"/>
              </w:rPr>
              <w:t xml:space="preserve">7          120   0.7500</w:t>
            </w:r>
            <w:r>
              <w:br/>
            </w:r>
            <w:r>
              <w:rPr>
                <w:rStyle w:val="VerbatimChar"/>
              </w:rPr>
              <w:t xml:space="preserve">8          140   1.8500</w:t>
            </w:r>
            <w:r>
              <w:br/>
            </w:r>
            <w:r>
              <w:rPr>
                <w:rStyle w:val="VerbatimChar"/>
              </w:rPr>
              <w:t xml:space="preserve">9          160   4.2000</w:t>
            </w:r>
            <w:r>
              <w:br/>
            </w:r>
            <w:r>
              <w:rPr>
                <w:rStyle w:val="VerbatimChar"/>
              </w:rPr>
              <w:t xml:space="preserve">10         180   8.8000</w:t>
            </w:r>
            <w:r>
              <w:br/>
            </w:r>
            <w:r>
              <w:rPr>
                <w:rStyle w:val="VerbatimChar"/>
              </w:rPr>
              <w:t xml:space="preserve">11         200  17.3000</w:t>
            </w:r>
            <w:r>
              <w:br/>
            </w:r>
            <w:r>
              <w:rPr>
                <w:rStyle w:val="VerbatimChar"/>
              </w:rPr>
              <w:t xml:space="preserve">12         220  32.1000</w:t>
            </w:r>
            <w:r>
              <w:br/>
            </w:r>
            <w:r>
              <w:rPr>
                <w:rStyle w:val="VerbatimChar"/>
              </w:rPr>
              <w:t xml:space="preserve">13         240  57.0000</w:t>
            </w:r>
            <w:r>
              <w:br/>
            </w:r>
            <w:r>
              <w:rPr>
                <w:rStyle w:val="VerbatimChar"/>
              </w:rPr>
              <w:t xml:space="preserve">14         260  96.0000</w:t>
            </w:r>
            <w:r>
              <w:br/>
            </w:r>
            <w:r>
              <w:rPr>
                <w:rStyle w:val="VerbatimChar"/>
              </w:rPr>
              <w:t xml:space="preserve">15         280 157.0000</w:t>
            </w:r>
            <w:r>
              <w:br/>
            </w:r>
            <w:r>
              <w:rPr>
                <w:rStyle w:val="VerbatimChar"/>
              </w:rPr>
              <w:t xml:space="preserve">16         300 247.0000</w:t>
            </w:r>
            <w:r>
              <w:br/>
            </w:r>
            <w:r>
              <w:rPr>
                <w:rStyle w:val="VerbatimChar"/>
              </w:rPr>
              <w:t xml:space="preserve">17         320 376.0000</w:t>
            </w:r>
            <w:r>
              <w:br/>
            </w:r>
            <w:r>
              <w:rPr>
                <w:rStyle w:val="VerbatimChar"/>
              </w:rPr>
              <w:t xml:space="preserve">18         340 558.0000</w:t>
            </w:r>
            <w:r>
              <w:br/>
            </w:r>
            <w:r>
              <w:rPr>
                <w:rStyle w:val="VerbatimChar"/>
              </w:rPr>
              <w:t xml:space="preserve">19         360 806.0000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Extended Table 1</w:t>
            </w:r>
          </w:p>
          <w:bookmarkEnd w:id="29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2025-02-01T04:58:37Z</dcterms:created>
  <dcterms:modified xsi:type="dcterms:W3CDTF">2025-02-01T04:58:37Z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display-item-orde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