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8814" w14:textId="2D0D0057" w:rsidR="00F20848" w:rsidRDefault="0002646D" w:rsidP="008350CF">
      <w:pPr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Thresholds </w:t>
      </w:r>
      <w:r w:rsidR="00303F6F" w:rsidRPr="008350CF">
        <w:rPr>
          <w:b/>
          <w:bCs/>
          <w:color w:val="auto"/>
          <w:sz w:val="24"/>
          <w:szCs w:val="24"/>
        </w:rPr>
        <w:t>sourced from</w:t>
      </w:r>
      <w:r w:rsidR="00355FCA" w:rsidRPr="008350CF">
        <w:rPr>
          <w:b/>
          <w:bCs/>
          <w:color w:val="auto"/>
          <w:sz w:val="24"/>
          <w:szCs w:val="24"/>
        </w:rPr>
        <w:t>:</w:t>
      </w:r>
      <w:r w:rsidR="00355FCA" w:rsidRPr="008350CF">
        <w:rPr>
          <w:color w:val="auto"/>
          <w:sz w:val="24"/>
          <w:szCs w:val="24"/>
        </w:rPr>
        <w:t xml:space="preserve"> </w:t>
      </w:r>
      <w:r w:rsidR="00303F6F" w:rsidRPr="008350CF">
        <w:rPr>
          <w:color w:val="auto"/>
          <w:sz w:val="24"/>
          <w:szCs w:val="24"/>
        </w:rPr>
        <w:t xml:space="preserve"> </w:t>
      </w:r>
      <w:r w:rsidR="008350CF" w:rsidRPr="008350CF">
        <w:rPr>
          <w:color w:val="auto"/>
          <w:sz w:val="24"/>
          <w:szCs w:val="24"/>
        </w:rPr>
        <w:t>U.S. Environmental Protection Agency. 2020. National Coastal Condition Assessment 2015</w:t>
      </w:r>
      <w:r w:rsidR="008350CF">
        <w:rPr>
          <w:color w:val="auto"/>
          <w:sz w:val="24"/>
          <w:szCs w:val="24"/>
        </w:rPr>
        <w:t xml:space="preserve"> </w:t>
      </w:r>
      <w:r w:rsidR="008350CF" w:rsidRPr="008350CF">
        <w:rPr>
          <w:color w:val="auto"/>
          <w:sz w:val="24"/>
          <w:szCs w:val="24"/>
        </w:rPr>
        <w:t xml:space="preserve">Technical Support Document. EPA‐841-R-20-002. Office of Water and Office of Research and Development. Washington, D.C. </w:t>
      </w:r>
      <w:hyperlink r:id="rId4" w:history="1">
        <w:r w:rsidR="008350CF" w:rsidRPr="001B2354">
          <w:rPr>
            <w:rStyle w:val="Hyperlink"/>
            <w:sz w:val="24"/>
            <w:szCs w:val="24"/>
          </w:rPr>
          <w:t>https://www.epa.gov/national-aquatic-resource-surveys/ncc</w:t>
        </w:r>
        <w:r w:rsidR="008350CF" w:rsidRPr="001B2354">
          <w:rPr>
            <w:rStyle w:val="Hyperlink"/>
            <w:sz w:val="24"/>
            <w:szCs w:val="24"/>
          </w:rPr>
          <w:t>a</w:t>
        </w:r>
      </w:hyperlink>
      <w:r w:rsidR="008350CF">
        <w:rPr>
          <w:color w:val="auto"/>
          <w:sz w:val="24"/>
          <w:szCs w:val="24"/>
        </w:rPr>
        <w:t xml:space="preserve"> </w:t>
      </w:r>
    </w:p>
    <w:p w14:paraId="3D9CA763" w14:textId="77777777" w:rsidR="008350CF" w:rsidRDefault="008350CF" w:rsidP="008350CF">
      <w:pPr>
        <w:rPr>
          <w:color w:val="auto"/>
          <w:sz w:val="24"/>
          <w:szCs w:val="24"/>
        </w:rPr>
      </w:pPr>
    </w:p>
    <w:p w14:paraId="2F05D373" w14:textId="2935A7D0" w:rsidR="008350CF" w:rsidRDefault="0002646D" w:rsidP="008350CF">
      <w:p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The following thresholds are relative to estuarine sites and should not be applied </w:t>
      </w:r>
      <w:r w:rsidR="00FC5D75">
        <w:rPr>
          <w:color w:val="auto"/>
          <w:sz w:val="24"/>
          <w:szCs w:val="24"/>
        </w:rPr>
        <w:t>to data collected from freshwater</w:t>
      </w:r>
      <w:r w:rsidR="00946E0C">
        <w:rPr>
          <w:color w:val="auto"/>
          <w:sz w:val="24"/>
          <w:szCs w:val="24"/>
        </w:rPr>
        <w:t xml:space="preserve">. </w:t>
      </w:r>
    </w:p>
    <w:p w14:paraId="5EBA5D1D" w14:textId="77777777" w:rsidR="00635FAC" w:rsidRDefault="00635FAC" w:rsidP="008350CF">
      <w:pPr>
        <w:rPr>
          <w:color w:val="auto"/>
          <w:sz w:val="24"/>
          <w:szCs w:val="24"/>
        </w:rPr>
      </w:pPr>
    </w:p>
    <w:p w14:paraId="57580855" w14:textId="487E8692" w:rsidR="00635FAC" w:rsidRDefault="00635FAC" w:rsidP="008350CF">
      <w:p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Table 5.9 Estuarine benchmarks for total nutrients derived from 2010 concentrations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116"/>
        <w:gridCol w:w="3117"/>
        <w:gridCol w:w="3572"/>
      </w:tblGrid>
      <w:tr w:rsidR="00352E39" w14:paraId="61683CF2" w14:textId="77777777" w:rsidTr="00352E39">
        <w:tc>
          <w:tcPr>
            <w:tcW w:w="9805" w:type="dxa"/>
            <w:gridSpan w:val="3"/>
          </w:tcPr>
          <w:p w14:paraId="0CE251C9" w14:textId="05287C1C" w:rsidR="00352E39" w:rsidRPr="00352E39" w:rsidRDefault="00352E39" w:rsidP="00352E39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Total Nutrients</w:t>
            </w:r>
          </w:p>
        </w:tc>
      </w:tr>
      <w:tr w:rsidR="00C557C2" w14:paraId="4E0283C8" w14:textId="77777777" w:rsidTr="00352E39">
        <w:tc>
          <w:tcPr>
            <w:tcW w:w="3116" w:type="dxa"/>
          </w:tcPr>
          <w:p w14:paraId="76F70134" w14:textId="50620387" w:rsidR="00C557C2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Condition</w:t>
            </w:r>
          </w:p>
        </w:tc>
        <w:tc>
          <w:tcPr>
            <w:tcW w:w="3117" w:type="dxa"/>
          </w:tcPr>
          <w:p w14:paraId="7CF61A4E" w14:textId="5B6D9E9F" w:rsidR="00C557C2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Total Nitrogen (TN) (mg/L)</w:t>
            </w:r>
          </w:p>
        </w:tc>
        <w:tc>
          <w:tcPr>
            <w:tcW w:w="3572" w:type="dxa"/>
          </w:tcPr>
          <w:p w14:paraId="085C0A44" w14:textId="7D882677" w:rsidR="00C557C2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Total Phosphorus (TP) (mg/L)</w:t>
            </w:r>
          </w:p>
        </w:tc>
      </w:tr>
      <w:tr w:rsidR="00C557C2" w14:paraId="2D057072" w14:textId="77777777" w:rsidTr="00352E39">
        <w:tc>
          <w:tcPr>
            <w:tcW w:w="3116" w:type="dxa"/>
          </w:tcPr>
          <w:p w14:paraId="51866885" w14:textId="543BF883" w:rsidR="00352E39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Low</w:t>
            </w:r>
          </w:p>
        </w:tc>
        <w:tc>
          <w:tcPr>
            <w:tcW w:w="3117" w:type="dxa"/>
          </w:tcPr>
          <w:p w14:paraId="2C64A07E" w14:textId="52024C1D" w:rsidR="00C557C2" w:rsidRDefault="003F66E1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3F66E1">
              <w:rPr>
                <w:color w:val="auto"/>
                <w:sz w:val="24"/>
                <w:szCs w:val="24"/>
              </w:rPr>
              <w:t>≤ 0.31</w:t>
            </w:r>
          </w:p>
        </w:tc>
        <w:tc>
          <w:tcPr>
            <w:tcW w:w="3572" w:type="dxa"/>
          </w:tcPr>
          <w:p w14:paraId="2B6DC403" w14:textId="65418AB4" w:rsidR="00C557C2" w:rsidRDefault="003F66E1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3F66E1">
              <w:rPr>
                <w:color w:val="auto"/>
                <w:sz w:val="24"/>
                <w:szCs w:val="24"/>
              </w:rPr>
              <w:t>≤ 0.037</w:t>
            </w:r>
          </w:p>
        </w:tc>
      </w:tr>
      <w:tr w:rsidR="00C557C2" w14:paraId="4B393DD3" w14:textId="77777777" w:rsidTr="00352E39">
        <w:tc>
          <w:tcPr>
            <w:tcW w:w="3116" w:type="dxa"/>
          </w:tcPr>
          <w:p w14:paraId="44B79896" w14:textId="35BC79F4" w:rsidR="00C557C2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Moderate</w:t>
            </w:r>
          </w:p>
        </w:tc>
        <w:tc>
          <w:tcPr>
            <w:tcW w:w="3117" w:type="dxa"/>
          </w:tcPr>
          <w:p w14:paraId="52657DCB" w14:textId="7261F882" w:rsidR="00C557C2" w:rsidRDefault="003F66E1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3F66E1">
              <w:rPr>
                <w:color w:val="auto"/>
                <w:sz w:val="24"/>
                <w:szCs w:val="24"/>
              </w:rPr>
              <w:t>&gt; 0.31 to ≤ 0.48</w:t>
            </w:r>
          </w:p>
        </w:tc>
        <w:tc>
          <w:tcPr>
            <w:tcW w:w="3572" w:type="dxa"/>
          </w:tcPr>
          <w:p w14:paraId="1A97C3A4" w14:textId="631AE52F" w:rsidR="00C557C2" w:rsidRDefault="001B37FE" w:rsidP="001B37FE">
            <w:pPr>
              <w:ind w:firstLine="720"/>
              <w:jc w:val="center"/>
              <w:rPr>
                <w:color w:val="auto"/>
                <w:sz w:val="24"/>
                <w:szCs w:val="24"/>
              </w:rPr>
            </w:pPr>
            <w:r w:rsidRPr="001B37FE">
              <w:rPr>
                <w:color w:val="auto"/>
                <w:sz w:val="24"/>
                <w:szCs w:val="24"/>
              </w:rPr>
              <w:t>&gt; 0.037 to ≤ 0.062</w:t>
            </w:r>
          </w:p>
        </w:tc>
      </w:tr>
      <w:tr w:rsidR="00C557C2" w14:paraId="18350E75" w14:textId="77777777" w:rsidTr="00352E39">
        <w:tc>
          <w:tcPr>
            <w:tcW w:w="3116" w:type="dxa"/>
          </w:tcPr>
          <w:p w14:paraId="6E0599EC" w14:textId="4EEB007D" w:rsidR="00C557C2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High</w:t>
            </w:r>
          </w:p>
        </w:tc>
        <w:tc>
          <w:tcPr>
            <w:tcW w:w="3117" w:type="dxa"/>
          </w:tcPr>
          <w:p w14:paraId="67EEDD81" w14:textId="73269A6E" w:rsidR="00C557C2" w:rsidRDefault="003F66E1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3F66E1">
              <w:rPr>
                <w:color w:val="auto"/>
                <w:sz w:val="24"/>
                <w:szCs w:val="24"/>
              </w:rPr>
              <w:t>&gt; 0.48 to ≤ 0.68</w:t>
            </w:r>
          </w:p>
        </w:tc>
        <w:tc>
          <w:tcPr>
            <w:tcW w:w="3572" w:type="dxa"/>
          </w:tcPr>
          <w:p w14:paraId="51B497EC" w14:textId="0593426C" w:rsidR="00C557C2" w:rsidRDefault="001B37FE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1B37FE">
              <w:rPr>
                <w:color w:val="auto"/>
                <w:sz w:val="24"/>
                <w:szCs w:val="24"/>
              </w:rPr>
              <w:t>&gt; 0.062 to ≤ 0.101</w:t>
            </w:r>
          </w:p>
        </w:tc>
      </w:tr>
      <w:tr w:rsidR="00C557C2" w14:paraId="3573586A" w14:textId="77777777" w:rsidTr="00352E39">
        <w:tc>
          <w:tcPr>
            <w:tcW w:w="3116" w:type="dxa"/>
          </w:tcPr>
          <w:p w14:paraId="46784A30" w14:textId="0C0F69B7" w:rsidR="00C557C2" w:rsidRPr="00352E39" w:rsidRDefault="00352E39" w:rsidP="008350CF">
            <w:pPr>
              <w:rPr>
                <w:b/>
                <w:bCs/>
                <w:color w:val="auto"/>
                <w:sz w:val="24"/>
                <w:szCs w:val="24"/>
              </w:rPr>
            </w:pPr>
            <w:r w:rsidRPr="00352E39">
              <w:rPr>
                <w:b/>
                <w:bCs/>
                <w:color w:val="auto"/>
                <w:sz w:val="24"/>
                <w:szCs w:val="24"/>
              </w:rPr>
              <w:t>Very High</w:t>
            </w:r>
          </w:p>
        </w:tc>
        <w:tc>
          <w:tcPr>
            <w:tcW w:w="3117" w:type="dxa"/>
          </w:tcPr>
          <w:p w14:paraId="0FC2E94F" w14:textId="053F6B77" w:rsidR="00C557C2" w:rsidRDefault="003F66E1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3F66E1">
              <w:rPr>
                <w:color w:val="auto"/>
                <w:sz w:val="24"/>
                <w:szCs w:val="24"/>
              </w:rPr>
              <w:t>&gt; 0.68</w:t>
            </w:r>
          </w:p>
        </w:tc>
        <w:tc>
          <w:tcPr>
            <w:tcW w:w="3572" w:type="dxa"/>
          </w:tcPr>
          <w:p w14:paraId="437D3552" w14:textId="3C7374AB" w:rsidR="00C557C2" w:rsidRDefault="001B37FE" w:rsidP="001B37FE">
            <w:pPr>
              <w:jc w:val="center"/>
              <w:rPr>
                <w:color w:val="auto"/>
                <w:sz w:val="24"/>
                <w:szCs w:val="24"/>
              </w:rPr>
            </w:pPr>
            <w:r w:rsidRPr="001B37FE">
              <w:rPr>
                <w:color w:val="auto"/>
                <w:sz w:val="24"/>
                <w:szCs w:val="24"/>
              </w:rPr>
              <w:t>&gt; 0.101</w:t>
            </w:r>
          </w:p>
        </w:tc>
      </w:tr>
    </w:tbl>
    <w:p w14:paraId="6B06C46B" w14:textId="77777777" w:rsidR="00635FAC" w:rsidRPr="008350CF" w:rsidRDefault="00635FAC" w:rsidP="008350CF">
      <w:pPr>
        <w:rPr>
          <w:color w:val="auto"/>
          <w:sz w:val="24"/>
          <w:szCs w:val="24"/>
        </w:rPr>
      </w:pPr>
    </w:p>
    <w:sectPr w:rsidR="00635FAC" w:rsidRPr="00835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9D"/>
    <w:rsid w:val="0002646D"/>
    <w:rsid w:val="001B37FE"/>
    <w:rsid w:val="00303F6F"/>
    <w:rsid w:val="00352E39"/>
    <w:rsid w:val="00355FCA"/>
    <w:rsid w:val="003F66E1"/>
    <w:rsid w:val="005B41DE"/>
    <w:rsid w:val="00635FAC"/>
    <w:rsid w:val="0073139D"/>
    <w:rsid w:val="008350CF"/>
    <w:rsid w:val="008367AA"/>
    <w:rsid w:val="00946E0C"/>
    <w:rsid w:val="009D0CE5"/>
    <w:rsid w:val="00B2697E"/>
    <w:rsid w:val="00C557C2"/>
    <w:rsid w:val="00D6360F"/>
    <w:rsid w:val="00D75396"/>
    <w:rsid w:val="00F14B39"/>
    <w:rsid w:val="00F20848"/>
    <w:rsid w:val="00F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D6A1"/>
  <w15:chartTrackingRefBased/>
  <w15:docId w15:val="{8B671FFD-84FC-4022-868A-5C2F9AD6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F4761" w:themeColor="accent1" w:themeShade="BF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9D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39D"/>
    <w:pPr>
      <w:keepNext/>
      <w:keepLines/>
      <w:spacing w:before="160" w:after="80"/>
      <w:outlineLvl w:val="1"/>
    </w:pPr>
    <w:rPr>
      <w:rFonts w:asciiTheme="majorHAnsi" w:eastAsiaTheme="majorEastAsia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39D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39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39D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39D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39D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9D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9D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39D"/>
    <w:rPr>
      <w:rFonts w:asciiTheme="majorHAnsi" w:eastAsiaTheme="majorEastAsia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39D"/>
    <w:rPr>
      <w:rFonts w:asciiTheme="majorHAnsi" w:eastAsiaTheme="majorEastAsia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39D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39D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39D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39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39D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9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9D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9D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39D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9D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39D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9D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7313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0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0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5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pa.gov/national-aquatic-resource-surveys/nc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718</Characters>
  <Application>Microsoft Office Word</Application>
  <DocSecurity>0</DocSecurity>
  <Lines>71</Lines>
  <Paragraphs>71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Horn</dc:creator>
  <cp:keywords/>
  <dc:description/>
  <cp:lastModifiedBy>Rose Horn</cp:lastModifiedBy>
  <cp:revision>13</cp:revision>
  <dcterms:created xsi:type="dcterms:W3CDTF">2025-12-03T20:39:00Z</dcterms:created>
  <dcterms:modified xsi:type="dcterms:W3CDTF">2025-12-03T20:49:00Z</dcterms:modified>
</cp:coreProperties>
</file>