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2441" w14:textId="034C26EA" w:rsidR="00574EFF" w:rsidRPr="00E843A8" w:rsidRDefault="00456A8A" w:rsidP="00E23ABF">
      <w:pPr>
        <w:pStyle w:val="Title"/>
        <w:rPr>
          <w:sz w:val="52"/>
          <w:szCs w:val="52"/>
        </w:rPr>
      </w:pPr>
      <w:r w:rsidRPr="00E843A8">
        <w:rPr>
          <w:sz w:val="52"/>
          <w:szCs w:val="52"/>
        </w:rPr>
        <w:t xml:space="preserve">Secure Communities </w:t>
      </w:r>
      <w:r w:rsidR="0000373E" w:rsidRPr="00E843A8">
        <w:rPr>
          <w:sz w:val="52"/>
          <w:szCs w:val="52"/>
        </w:rPr>
        <w:t xml:space="preserve">Deportations: Trends and </w:t>
      </w:r>
      <w:r w:rsidR="00A947C0" w:rsidRPr="00E843A8">
        <w:rPr>
          <w:sz w:val="52"/>
          <w:szCs w:val="52"/>
        </w:rPr>
        <w:t>Implications</w:t>
      </w:r>
    </w:p>
    <w:p w14:paraId="6746C1EE" w14:textId="354BC8BA" w:rsidR="0007243F" w:rsidRDefault="0007243F" w:rsidP="00E23ABF">
      <w:pPr>
        <w:pStyle w:val="Heading4"/>
      </w:pPr>
      <w:r>
        <w:t>Mary Mills</w:t>
      </w:r>
    </w:p>
    <w:p w14:paraId="036BC0DA" w14:textId="54DDBAE1" w:rsidR="0007243F" w:rsidRDefault="0007243F" w:rsidP="00E23ABF">
      <w:pPr>
        <w:pStyle w:val="Heading4"/>
      </w:pPr>
      <w:r>
        <w:t>1</w:t>
      </w:r>
      <w:r w:rsidR="0000373E">
        <w:t xml:space="preserve">0 May </w:t>
      </w:r>
      <w:r>
        <w:t>2019</w:t>
      </w:r>
    </w:p>
    <w:p w14:paraId="64AFE1C4" w14:textId="05070A8D" w:rsidR="0007243F" w:rsidRDefault="0007243F"/>
    <w:p w14:paraId="5CE7C663" w14:textId="1EA25CA8" w:rsidR="0007243F" w:rsidRDefault="0007243F" w:rsidP="006F2301">
      <w:pPr>
        <w:pStyle w:val="Heading1"/>
      </w:pPr>
      <w:r w:rsidRPr="00C96690">
        <w:t>Background/Importance</w:t>
      </w:r>
    </w:p>
    <w:p w14:paraId="5AF89BF0" w14:textId="55450BC7" w:rsidR="001625B7" w:rsidRDefault="0047553B" w:rsidP="001625B7">
      <w:r>
        <w:t>Questions of effective i</w:t>
      </w:r>
      <w:r w:rsidR="00C81E78">
        <w:t xml:space="preserve">mmigration policy </w:t>
      </w:r>
      <w:r>
        <w:t xml:space="preserve">and how the U.S. should </w:t>
      </w:r>
      <w:r w:rsidR="001325AA">
        <w:t>manage</w:t>
      </w:r>
      <w:r w:rsidR="004C7376">
        <w:t xml:space="preserve"> unauthorized immigrants are some</w:t>
      </w:r>
      <w:r w:rsidR="00C81E78">
        <w:t xml:space="preserve"> of the most divisive </w:t>
      </w:r>
      <w:r w:rsidR="00387534">
        <w:t xml:space="preserve">we are currently facing as a country. </w:t>
      </w:r>
      <w:r w:rsidR="00C81218">
        <w:t>I</w:t>
      </w:r>
      <w:r w:rsidR="00387534">
        <w:t xml:space="preserve">t seems like comprehensive </w:t>
      </w:r>
      <w:r w:rsidR="000E4D7A">
        <w:t>immigration policy reform to address</w:t>
      </w:r>
      <w:r w:rsidR="002E2AB4">
        <w:t xml:space="preserve"> shortcomings is currently unattainable, </w:t>
      </w:r>
      <w:r w:rsidR="00C81218">
        <w:t xml:space="preserve">which is increasingly troubling as </w:t>
      </w:r>
      <w:r w:rsidR="00AC6AE7">
        <w:t>m</w:t>
      </w:r>
      <w:r w:rsidR="003A719B">
        <w:t>ore and more vulnerable populations are seeking entry into the U.S.</w:t>
      </w:r>
      <w:r w:rsidR="00EB3162">
        <w:t xml:space="preserve"> P</w:t>
      </w:r>
      <w:r w:rsidR="0004636A">
        <w:t>iecemeal efforts</w:t>
      </w:r>
      <w:r w:rsidR="00766836">
        <w:t xml:space="preserve"> by government agencies</w:t>
      </w:r>
      <w:r w:rsidR="0004636A">
        <w:t xml:space="preserve"> to address the changing </w:t>
      </w:r>
      <w:r w:rsidR="00766836">
        <w:t xml:space="preserve">trends in immigrant numbers and demographics have been </w:t>
      </w:r>
      <w:r w:rsidR="0025069D">
        <w:t>visible and controversial, with asylum seekers dying</w:t>
      </w:r>
      <w:r w:rsidR="00851364">
        <w:t xml:space="preserve"> due to inhumane conditions in </w:t>
      </w:r>
      <w:r w:rsidR="0025069D">
        <w:t>immigration detention</w:t>
      </w:r>
      <w:r w:rsidR="00170F7C">
        <w:t xml:space="preserve"> not uncommon</w:t>
      </w:r>
      <w:r w:rsidR="002B2A61">
        <w:rPr>
          <w:rStyle w:val="FootnoteReference"/>
        </w:rPr>
        <w:footnoteReference w:id="1"/>
      </w:r>
      <w:r w:rsidR="002B2A61">
        <w:t>.</w:t>
      </w:r>
    </w:p>
    <w:p w14:paraId="54E1C7C1" w14:textId="072F41C0" w:rsidR="002B2A61" w:rsidRDefault="00E02BCB" w:rsidP="001625B7">
      <w:r>
        <w:t>Secure Communities</w:t>
      </w:r>
      <w:r w:rsidR="00750E14">
        <w:t xml:space="preserve"> (SC)</w:t>
      </w:r>
      <w:r>
        <w:t xml:space="preserve"> is one such </w:t>
      </w:r>
      <w:r w:rsidR="00822F8F">
        <w:t xml:space="preserve">tool government is currently using to </w:t>
      </w:r>
      <w:r w:rsidR="00560B5F">
        <w:t xml:space="preserve">try </w:t>
      </w:r>
      <w:r w:rsidR="000B2B13">
        <w:t xml:space="preserve">to curb illegal immigration. First introduced in 2008, Secure Communities is a program administered by Immigrations and Customs Enforcement (ICE) whose </w:t>
      </w:r>
      <w:r w:rsidR="003B4379">
        <w:t xml:space="preserve">purpose is to </w:t>
      </w:r>
      <w:r w:rsidR="001B4F72">
        <w:t xml:space="preserve">identify and remove non-citizens </w:t>
      </w:r>
      <w:r w:rsidR="00375EC6">
        <w:t>who have been put in jail for serious crimes</w:t>
      </w:r>
      <w:bookmarkStart w:id="0" w:name="_Ref5193890"/>
      <w:r w:rsidR="00CB41E5">
        <w:rPr>
          <w:rStyle w:val="FootnoteReference"/>
        </w:rPr>
        <w:footnoteReference w:id="2"/>
      </w:r>
      <w:bookmarkEnd w:id="0"/>
      <w:r w:rsidR="00375EC6">
        <w:t xml:space="preserve">. </w:t>
      </w:r>
      <w:r w:rsidR="00C203AE">
        <w:t xml:space="preserve">Secure Communities was halted in 2014 amidst concerns </w:t>
      </w:r>
      <w:r w:rsidR="00233785">
        <w:t xml:space="preserve">about </w:t>
      </w:r>
      <w:r w:rsidR="00FD4F11">
        <w:t xml:space="preserve">how </w:t>
      </w:r>
      <w:r w:rsidR="00AB3893">
        <w:t xml:space="preserve">the program was potentially affecting autonomy of the state and local law enforcement agencies that </w:t>
      </w:r>
      <w:r w:rsidR="000170EF">
        <w:t xml:space="preserve">were required to </w:t>
      </w:r>
      <w:r w:rsidR="005B1BBC">
        <w:t>share biometric information about booked inmates with ICE. The question</w:t>
      </w:r>
      <w:r w:rsidR="00314BED">
        <w:t>s</w:t>
      </w:r>
      <w:r w:rsidR="005B1BBC">
        <w:t xml:space="preserve"> arose of </w:t>
      </w:r>
      <w:r w:rsidR="007E1B1A">
        <w:t>how to regulate Secure Communities,</w:t>
      </w:r>
      <w:r w:rsidR="002D3E07">
        <w:t xml:space="preserve"> </w:t>
      </w:r>
      <w:r w:rsidR="003134DA">
        <w:t xml:space="preserve">and </w:t>
      </w:r>
      <w:r w:rsidR="00314BED">
        <w:t xml:space="preserve">what the program’s </w:t>
      </w:r>
      <w:r w:rsidR="00F77F19">
        <w:t xml:space="preserve">mission actually was: to prevent dangerous criminals from remaining in the country, or arresting </w:t>
      </w:r>
      <w:r w:rsidR="00DE401C">
        <w:t>immigrants mainly for their illegal status.</w:t>
      </w:r>
    </w:p>
    <w:p w14:paraId="773623A0" w14:textId="50024337" w:rsidR="00DE401C" w:rsidRDefault="00DE401C" w:rsidP="001625B7">
      <w:r>
        <w:t>Secure Communities was reinstated in 2017 under</w:t>
      </w:r>
      <w:r w:rsidR="0045044A">
        <w:t xml:space="preserve"> </w:t>
      </w:r>
      <w:r w:rsidR="002F0C17">
        <w:t>executive order</w:t>
      </w:r>
      <w:r w:rsidR="00014358">
        <w:rPr>
          <w:rStyle w:val="FootnoteReference"/>
        </w:rPr>
        <w:footnoteReference w:id="3"/>
      </w:r>
      <w:r w:rsidR="0045044A">
        <w:t xml:space="preserve">, as one part of president Trump’s strong </w:t>
      </w:r>
      <w:r w:rsidR="005242B1">
        <w:t>arsenal in the fight against what he deems is a crisis at the so</w:t>
      </w:r>
      <w:r w:rsidR="004B7D65">
        <w:t>uthern border</w:t>
      </w:r>
      <w:r w:rsidR="00014358">
        <w:t xml:space="preserve">. </w:t>
      </w:r>
      <w:r w:rsidR="006C4164">
        <w:t xml:space="preserve">The program’s mission and reach were already under question before the start of his administration, </w:t>
      </w:r>
      <w:r w:rsidR="00541DE5">
        <w:t xml:space="preserve">and some fear that this </w:t>
      </w:r>
      <w:r w:rsidR="000C25F0">
        <w:t xml:space="preserve">lack of clarity will allow for enforcement overreaches </w:t>
      </w:r>
      <w:r w:rsidR="006F5E0C">
        <w:t xml:space="preserve">as Secure Communities </w:t>
      </w:r>
      <w:r w:rsidR="00D03DB6">
        <w:t>continues.</w:t>
      </w:r>
    </w:p>
    <w:p w14:paraId="32A01F78" w14:textId="4CF19D58" w:rsidR="00F230C6" w:rsidRDefault="00F230C6" w:rsidP="006F2301">
      <w:pPr>
        <w:pStyle w:val="Heading1"/>
      </w:pPr>
      <w:r w:rsidRPr="0016643A">
        <w:t>Research Questions</w:t>
      </w:r>
    </w:p>
    <w:p w14:paraId="420E25A6" w14:textId="2C5FC307" w:rsidR="001019B9" w:rsidRDefault="00A0702F" w:rsidP="00456A8A">
      <w:r>
        <w:t xml:space="preserve">In my study I will seek to answer the overarching question of </w:t>
      </w:r>
      <w:r w:rsidR="00E554CD">
        <w:t>what social, political, and demographic shifts since Secure Communities’ full operationalization in 2013</w:t>
      </w:r>
      <w:r w:rsidR="00CF7565">
        <w:fldChar w:fldCharType="begin"/>
      </w:r>
      <w:r w:rsidR="00CF7565">
        <w:instrText xml:space="preserve"> NOTEREF _Ref5193890 \f </w:instrText>
      </w:r>
      <w:r w:rsidR="00CF7565">
        <w:fldChar w:fldCharType="separate"/>
      </w:r>
      <w:r w:rsidR="00500F49" w:rsidRPr="00500F49">
        <w:rPr>
          <w:rStyle w:val="FootnoteReference"/>
        </w:rPr>
        <w:t>2</w:t>
      </w:r>
      <w:r w:rsidR="00CF7565">
        <w:rPr>
          <w:rStyle w:val="FootnoteReference"/>
        </w:rPr>
        <w:fldChar w:fldCharType="end"/>
      </w:r>
      <w:r w:rsidR="001019B9">
        <w:t xml:space="preserve"> have impacted arrests through the program</w:t>
      </w:r>
      <w:r w:rsidR="00C16A77">
        <w:t xml:space="preserve">. </w:t>
      </w:r>
      <w:r w:rsidR="009F2EA7">
        <w:t>Firstly, I will</w:t>
      </w:r>
      <w:r w:rsidR="00D60C19">
        <w:t xml:space="preserve"> analyze Secure Communities arrest data since 2013, available via ICE’s FOIA library</w:t>
      </w:r>
      <w:r w:rsidR="000D3AF5">
        <w:rPr>
          <w:rStyle w:val="FootnoteReference"/>
        </w:rPr>
        <w:footnoteReference w:id="4"/>
      </w:r>
      <w:r w:rsidR="003D1F39">
        <w:t xml:space="preserve"> to identify </w:t>
      </w:r>
      <w:r w:rsidR="00A42559">
        <w:t>some potential trends:</w:t>
      </w:r>
    </w:p>
    <w:p w14:paraId="78F4E1D3" w14:textId="167B1ECA" w:rsidR="008B6BDD" w:rsidRPr="0089758D" w:rsidRDefault="00EE190B" w:rsidP="00A42559">
      <w:pPr>
        <w:pStyle w:val="ListParagraph"/>
        <w:numPr>
          <w:ilvl w:val="0"/>
          <w:numId w:val="3"/>
        </w:numPr>
        <w:rPr>
          <w:b/>
          <w:color w:val="2F5496" w:themeColor="accent1" w:themeShade="BF"/>
          <w:sz w:val="24"/>
          <w:szCs w:val="24"/>
        </w:rPr>
      </w:pPr>
      <w:r w:rsidRPr="00AC0020">
        <w:rPr>
          <w:b/>
          <w:color w:val="2F5496" w:themeColor="accent1" w:themeShade="BF"/>
          <w:sz w:val="24"/>
          <w:szCs w:val="24"/>
        </w:rPr>
        <w:t>Is there a “Trump Effect” in SC arrests overall</w:t>
      </w:r>
      <w:r w:rsidR="00456A8A" w:rsidRPr="00AC0020">
        <w:rPr>
          <w:b/>
          <w:color w:val="2F5496" w:themeColor="accent1" w:themeShade="BF"/>
          <w:sz w:val="24"/>
          <w:szCs w:val="24"/>
        </w:rPr>
        <w:t>?</w:t>
      </w:r>
      <w:r w:rsidR="0089758D">
        <w:rPr>
          <w:b/>
          <w:color w:val="2F5496" w:themeColor="accent1" w:themeShade="BF"/>
          <w:sz w:val="24"/>
          <w:szCs w:val="24"/>
        </w:rPr>
        <w:t xml:space="preserve"> - </w:t>
      </w:r>
      <w:r w:rsidR="008B6BDD" w:rsidRPr="0089758D">
        <w:rPr>
          <w:sz w:val="24"/>
          <w:szCs w:val="24"/>
        </w:rPr>
        <w:t xml:space="preserve">To answer this question, I will test whether </w:t>
      </w:r>
      <w:r w:rsidRPr="0089758D">
        <w:rPr>
          <w:sz w:val="24"/>
          <w:szCs w:val="24"/>
        </w:rPr>
        <w:t>overall arrest numbers are statistically higher or lower before and after November 8, 2016, the day Donald Trump was elected president.</w:t>
      </w:r>
    </w:p>
    <w:p w14:paraId="50682443" w14:textId="0949F71D" w:rsidR="001D2133" w:rsidRPr="0089758D" w:rsidRDefault="006F2301" w:rsidP="00EE190B">
      <w:pPr>
        <w:pStyle w:val="ListParagraph"/>
        <w:numPr>
          <w:ilvl w:val="0"/>
          <w:numId w:val="3"/>
        </w:numPr>
        <w:rPr>
          <w:b/>
          <w:color w:val="2F5496" w:themeColor="accent1" w:themeShade="BF"/>
          <w:sz w:val="24"/>
          <w:szCs w:val="24"/>
        </w:rPr>
      </w:pPr>
      <w:r w:rsidRPr="00AC0020">
        <w:rPr>
          <w:b/>
          <w:color w:val="2F5496" w:themeColor="accent1" w:themeShade="BF"/>
          <w:sz w:val="24"/>
          <w:szCs w:val="24"/>
        </w:rPr>
        <w:lastRenderedPageBreak/>
        <w:t>What nationalities are being deported the most</w:t>
      </w:r>
      <w:r w:rsidR="002339F4">
        <w:rPr>
          <w:b/>
          <w:color w:val="2F5496" w:themeColor="accent1" w:themeShade="BF"/>
          <w:sz w:val="24"/>
          <w:szCs w:val="24"/>
        </w:rPr>
        <w:t>, and for what offenses</w:t>
      </w:r>
      <w:r w:rsidRPr="00AC0020">
        <w:rPr>
          <w:b/>
          <w:color w:val="2F5496" w:themeColor="accent1" w:themeShade="BF"/>
          <w:sz w:val="24"/>
          <w:szCs w:val="24"/>
        </w:rPr>
        <w:t>?</w:t>
      </w:r>
      <w:r w:rsidR="0089758D">
        <w:rPr>
          <w:b/>
          <w:color w:val="2F5496" w:themeColor="accent1" w:themeShade="BF"/>
          <w:sz w:val="24"/>
          <w:szCs w:val="24"/>
        </w:rPr>
        <w:t xml:space="preserve"> - </w:t>
      </w:r>
      <w:r w:rsidR="00EE190B">
        <w:t xml:space="preserve">Secure Communities data </w:t>
      </w:r>
      <w:r w:rsidR="00681C6B">
        <w:t xml:space="preserve">gives each deported individual’s nationality. I will determine what </w:t>
      </w:r>
      <w:r w:rsidR="00320DAB">
        <w:t>nationalities have been deported in the highest numbers year-to-yea</w:t>
      </w:r>
      <w:r w:rsidR="005330CC">
        <w:t>r</w:t>
      </w:r>
      <w:r w:rsidR="002339F4">
        <w:t>. Then, I will see if these individuals are being arrested and deported primarily for migration-related offenses or other criminal offenses.</w:t>
      </w:r>
    </w:p>
    <w:p w14:paraId="5779EE6A" w14:textId="3DD3C868" w:rsidR="005330CC" w:rsidRPr="0089758D" w:rsidRDefault="008B6BDD" w:rsidP="008B6BDD">
      <w:pPr>
        <w:pStyle w:val="ListParagraph"/>
        <w:numPr>
          <w:ilvl w:val="0"/>
          <w:numId w:val="3"/>
        </w:numPr>
        <w:rPr>
          <w:b/>
          <w:color w:val="2F5496" w:themeColor="accent1" w:themeShade="BF"/>
          <w:sz w:val="24"/>
          <w:szCs w:val="24"/>
        </w:rPr>
      </w:pPr>
      <w:r w:rsidRPr="00AC0020">
        <w:rPr>
          <w:b/>
          <w:color w:val="2F5496" w:themeColor="accent1" w:themeShade="BF"/>
          <w:sz w:val="24"/>
          <w:szCs w:val="24"/>
        </w:rPr>
        <w:t>Do border states deport more individuals through SC than interior states?</w:t>
      </w:r>
      <w:r w:rsidR="0089758D">
        <w:rPr>
          <w:b/>
          <w:color w:val="2F5496" w:themeColor="accent1" w:themeShade="BF"/>
          <w:sz w:val="24"/>
          <w:szCs w:val="24"/>
        </w:rPr>
        <w:t xml:space="preserve"> - </w:t>
      </w:r>
      <w:r w:rsidR="005330CC">
        <w:t xml:space="preserve">I will compare states that share a border with either Canada or Mexico </w:t>
      </w:r>
      <w:r w:rsidR="00386CA6">
        <w:t xml:space="preserve">to those that do not to see whether SC arrests and deportations are higher </w:t>
      </w:r>
      <w:r w:rsidR="00A20658">
        <w:t>in states where illegal border crossings happen.</w:t>
      </w:r>
    </w:p>
    <w:p w14:paraId="64398B03" w14:textId="0D5A390B" w:rsidR="00A20658" w:rsidRPr="0089758D" w:rsidRDefault="008B6BDD" w:rsidP="008B6BDD">
      <w:pPr>
        <w:pStyle w:val="ListParagraph"/>
        <w:numPr>
          <w:ilvl w:val="0"/>
          <w:numId w:val="3"/>
        </w:numPr>
        <w:rPr>
          <w:b/>
          <w:color w:val="2F5496" w:themeColor="accent1" w:themeShade="BF"/>
          <w:sz w:val="24"/>
          <w:szCs w:val="24"/>
        </w:rPr>
      </w:pPr>
      <w:r w:rsidRPr="00AC0020">
        <w:rPr>
          <w:b/>
          <w:color w:val="2F5496" w:themeColor="accent1" w:themeShade="BF"/>
          <w:sz w:val="24"/>
          <w:szCs w:val="24"/>
        </w:rPr>
        <w:t>Is the number of state SC a</w:t>
      </w:r>
      <w:r w:rsidR="0034071C">
        <w:rPr>
          <w:b/>
          <w:color w:val="2F5496" w:themeColor="accent1" w:themeShade="BF"/>
          <w:sz w:val="24"/>
          <w:szCs w:val="24"/>
        </w:rPr>
        <w:t>rrests</w:t>
      </w:r>
      <w:r w:rsidRPr="00AC0020">
        <w:rPr>
          <w:b/>
          <w:color w:val="2F5496" w:themeColor="accent1" w:themeShade="BF"/>
          <w:sz w:val="24"/>
          <w:szCs w:val="24"/>
        </w:rPr>
        <w:t xml:space="preserve"> correlated with the state’s Hispanic population?</w:t>
      </w:r>
      <w:r w:rsidR="0089758D">
        <w:rPr>
          <w:b/>
          <w:color w:val="2F5496" w:themeColor="accent1" w:themeShade="BF"/>
          <w:sz w:val="24"/>
          <w:szCs w:val="24"/>
        </w:rPr>
        <w:t xml:space="preserve"> - </w:t>
      </w:r>
      <w:r w:rsidR="00A20658">
        <w:t xml:space="preserve">I will </w:t>
      </w:r>
      <w:r w:rsidR="008832A3">
        <w:t>compare each state’s population of Hispanic-origin individuals</w:t>
      </w:r>
      <w:r w:rsidR="005676C7">
        <w:t xml:space="preserve"> with its number of </w:t>
      </w:r>
      <w:r w:rsidR="00793291">
        <w:t>S</w:t>
      </w:r>
      <w:r w:rsidR="005676C7">
        <w:t xml:space="preserve">ecure </w:t>
      </w:r>
      <w:r w:rsidR="00793291">
        <w:t>C</w:t>
      </w:r>
      <w:r w:rsidR="005676C7">
        <w:t xml:space="preserve">ommunities arrests to see whether the state’s </w:t>
      </w:r>
      <w:r w:rsidR="00750E14">
        <w:t>ethnic composition is tied to the number of arrests through SC.</w:t>
      </w:r>
    </w:p>
    <w:p w14:paraId="7EF70BE9" w14:textId="43BD70A3" w:rsidR="007B56E8" w:rsidRPr="00A937F0" w:rsidRDefault="00D91732" w:rsidP="007B56E8">
      <w:pPr>
        <w:pStyle w:val="ListParagraph"/>
        <w:numPr>
          <w:ilvl w:val="0"/>
          <w:numId w:val="3"/>
        </w:numPr>
        <w:rPr>
          <w:b/>
          <w:color w:val="2F5496" w:themeColor="accent1" w:themeShade="BF"/>
          <w:sz w:val="24"/>
          <w:szCs w:val="24"/>
        </w:rPr>
      </w:pPr>
      <w:r w:rsidRPr="00D91732">
        <w:rPr>
          <w:b/>
          <w:color w:val="2F5496" w:themeColor="accent1" w:themeShade="BF"/>
          <w:sz w:val="24"/>
          <w:szCs w:val="24"/>
        </w:rPr>
        <w:t>What variables are correlated with SC deportations and how?</w:t>
      </w:r>
      <w:r w:rsidR="0089758D">
        <w:rPr>
          <w:b/>
          <w:color w:val="2F5496" w:themeColor="accent1" w:themeShade="BF"/>
          <w:sz w:val="24"/>
          <w:szCs w:val="24"/>
        </w:rPr>
        <w:t xml:space="preserve"> - </w:t>
      </w:r>
      <w:r>
        <w:t xml:space="preserve">I will run a simple linear regression model with several variables I think may </w:t>
      </w:r>
      <w:r w:rsidR="0016643A">
        <w:t>be correlated with the number of SC deportations during this period: border state status,</w:t>
      </w:r>
      <w:r w:rsidR="007B56E8">
        <w:t xml:space="preserve"> </w:t>
      </w:r>
      <w:r w:rsidR="0016643A">
        <w:t>county-level Hispanic population</w:t>
      </w:r>
      <w:r w:rsidR="009B2FB5">
        <w:t xml:space="preserve">, </w:t>
      </w:r>
      <w:r w:rsidR="0016643A">
        <w:t>county-level political stance (as measured by 2016 presidential election results), and state-level</w:t>
      </w:r>
      <w:r w:rsidR="00AB5409">
        <w:t xml:space="preserve"> population of </w:t>
      </w:r>
      <w:r w:rsidR="00382C08">
        <w:t>incarcerated non-citizens</w:t>
      </w:r>
      <w:r w:rsidR="0016643A">
        <w:t>.</w:t>
      </w:r>
    </w:p>
    <w:p w14:paraId="0F9F489C" w14:textId="489FFB4B" w:rsidR="0007243F" w:rsidRDefault="00D915FE" w:rsidP="006F2301">
      <w:pPr>
        <w:pStyle w:val="Heading1"/>
      </w:pPr>
      <w:r w:rsidRPr="00961E42">
        <w:t xml:space="preserve">Data </w:t>
      </w:r>
      <w:r w:rsidR="00026ED1" w:rsidRPr="00961E42">
        <w:t xml:space="preserve">Sources and </w:t>
      </w:r>
      <w:r w:rsidR="0007243F" w:rsidRPr="00961E42">
        <w:t>Methodology</w:t>
      </w:r>
      <w:r w:rsidR="00026ED1">
        <w:t xml:space="preserve"> </w:t>
      </w:r>
    </w:p>
    <w:p w14:paraId="66E08CD6" w14:textId="2158E6B7" w:rsidR="00F7390E" w:rsidRDefault="00616889" w:rsidP="00F7390E">
      <w:r>
        <w:t xml:space="preserve">The data I have collected </w:t>
      </w:r>
      <w:r w:rsidR="00927D38">
        <w:t xml:space="preserve">for my analysis is </w:t>
      </w:r>
      <w:r w:rsidR="00B335CB">
        <w:t xml:space="preserve">mainly </w:t>
      </w:r>
      <w:r w:rsidR="00927D38">
        <w:t xml:space="preserve">government-published data, either published yearly by the respective government agencies or released via Freedom of Information Act (FOIA) request. </w:t>
      </w:r>
    </w:p>
    <w:p w14:paraId="0B4230D4" w14:textId="52D9BF5D" w:rsidR="000B2FDC" w:rsidRDefault="00927D38" w:rsidP="00F7390E">
      <w:r>
        <w:t xml:space="preserve">The main </w:t>
      </w:r>
      <w:r w:rsidR="00A66876">
        <w:t>source of data I will draw from is</w:t>
      </w:r>
      <w:r w:rsidR="009368F0">
        <w:t xml:space="preserve"> deportation data from the</w:t>
      </w:r>
      <w:r w:rsidR="00A66876">
        <w:t xml:space="preserve"> </w:t>
      </w:r>
      <w:r w:rsidR="004567AE">
        <w:t xml:space="preserve">Secure Communities </w:t>
      </w:r>
      <w:r w:rsidR="009368F0">
        <w:t xml:space="preserve">program, released by ICE. </w:t>
      </w:r>
      <w:r w:rsidR="00E44C65">
        <w:t xml:space="preserve">This dataset is </w:t>
      </w:r>
      <w:r w:rsidR="00FC16C1">
        <w:t>extensive</w:t>
      </w:r>
      <w:r w:rsidR="00E44C65">
        <w:t xml:space="preserve">, listing de-identified data on every </w:t>
      </w:r>
      <w:r w:rsidR="008F32AE">
        <w:t>individual deported through SC from fiscal year 2015 through March 2017.</w:t>
      </w:r>
      <w:r w:rsidR="008466E2">
        <w:t xml:space="preserve"> The </w:t>
      </w:r>
      <w:r w:rsidR="001A17C6">
        <w:t xml:space="preserve">individual-level data includes information such as state in which the deportee was arrested, country they were deported to, country of citizenship, </w:t>
      </w:r>
      <w:r w:rsidR="00312A8D">
        <w:t>dates of arrest and deportation, and data on the specific crime committed.</w:t>
      </w:r>
      <w:r w:rsidR="008F32AE">
        <w:t xml:space="preserve"> </w:t>
      </w:r>
      <w:r w:rsidR="00393D26">
        <w:t xml:space="preserve">It is important for me to only use individual-level data after </w:t>
      </w:r>
      <w:r w:rsidR="00F334C0">
        <w:t>January 22</w:t>
      </w:r>
      <w:r w:rsidR="00F334C0" w:rsidRPr="00F334C0">
        <w:rPr>
          <w:vertAlign w:val="superscript"/>
        </w:rPr>
        <w:t>nd</w:t>
      </w:r>
      <w:r w:rsidR="00F334C0">
        <w:t xml:space="preserve">, </w:t>
      </w:r>
      <w:r w:rsidR="00393D26">
        <w:t xml:space="preserve">2013, when </w:t>
      </w:r>
      <w:r w:rsidR="00F334C0">
        <w:t xml:space="preserve">Secure Communities was fully operationalized in </w:t>
      </w:r>
      <w:r w:rsidR="00090A55">
        <w:t xml:space="preserve">all U.S. jurisdictions. This will eliminate any perceived increase in arrests due to the program scaling </w:t>
      </w:r>
      <w:r w:rsidR="002F447E">
        <w:t xml:space="preserve">up its operability </w:t>
      </w:r>
      <w:r w:rsidR="00407DA9">
        <w:t>nation-wide before this time</w:t>
      </w:r>
      <w:r w:rsidR="002F447E">
        <w:t xml:space="preserve">. </w:t>
      </w:r>
      <w:r w:rsidR="00B94507">
        <w:t xml:space="preserve">Additionally, although SC was halted in 2014, </w:t>
      </w:r>
      <w:r w:rsidR="00C72D53">
        <w:t xml:space="preserve">deportations of individuals identified through SC </w:t>
      </w:r>
      <w:r w:rsidR="00E1341F">
        <w:t xml:space="preserve">continued. </w:t>
      </w:r>
      <w:r w:rsidR="001B6F63">
        <w:t xml:space="preserve">This dataset is available through ICE’s FOIA library, but I </w:t>
      </w:r>
      <w:r w:rsidR="0069141B">
        <w:t xml:space="preserve">initially discovered it through the Center for Immigration Studies’ </w:t>
      </w:r>
      <w:r w:rsidR="00660A71">
        <w:t>Immigration Data Portal</w:t>
      </w:r>
      <w:r w:rsidR="00354FC2">
        <w:rPr>
          <w:rStyle w:val="FootnoteReference"/>
        </w:rPr>
        <w:footnoteReference w:id="5"/>
      </w:r>
      <w:r w:rsidR="00354FC2">
        <w:t xml:space="preserve">. </w:t>
      </w:r>
    </w:p>
    <w:p w14:paraId="691F6C78" w14:textId="6A97D0A5" w:rsidR="000B2FDC" w:rsidRDefault="000B2FDC" w:rsidP="00F7390E">
      <w:r>
        <w:t xml:space="preserve">I will also employ datasets </w:t>
      </w:r>
      <w:r w:rsidR="00187EBA">
        <w:t>created</w:t>
      </w:r>
      <w:r w:rsidR="00404E73">
        <w:t xml:space="preserve"> through the U.S. Census Website’s </w:t>
      </w:r>
      <w:r w:rsidR="00566A74">
        <w:t>American FactFinder tool</w:t>
      </w:r>
      <w:r w:rsidR="00566A74">
        <w:rPr>
          <w:rStyle w:val="FootnoteReference"/>
        </w:rPr>
        <w:footnoteReference w:id="6"/>
      </w:r>
      <w:r w:rsidR="00566A74">
        <w:t xml:space="preserve">. </w:t>
      </w:r>
      <w:r w:rsidR="00AC0020">
        <w:t xml:space="preserve">I will mainly use this to calculate each U.S. </w:t>
      </w:r>
      <w:r w:rsidR="003738B1">
        <w:t>county</w:t>
      </w:r>
      <w:r w:rsidR="00AC0020">
        <w:t xml:space="preserve">’s Hispanic population percentage which I will use to answer my fourth research question. </w:t>
      </w:r>
      <w:r w:rsidR="00187EBA">
        <w:t>The Census reports very detailed national-level</w:t>
      </w:r>
      <w:r w:rsidR="003738B1">
        <w:t>, state-level</w:t>
      </w:r>
      <w:r w:rsidR="00187EBA">
        <w:t xml:space="preserve"> and </w:t>
      </w:r>
      <w:r w:rsidR="003738B1">
        <w:t>county</w:t>
      </w:r>
      <w:r w:rsidR="00187EBA">
        <w:t xml:space="preserve">-level data on the ethnic origin of Americans </w:t>
      </w:r>
      <w:r w:rsidR="000C0212">
        <w:t xml:space="preserve">reporting their Hispanic background. I will collapse all specific ethnic data to </w:t>
      </w:r>
      <w:r w:rsidR="005948D9">
        <w:t xml:space="preserve">arrive at the overall Hispanic population per </w:t>
      </w:r>
      <w:r w:rsidR="003738B1">
        <w:t>county</w:t>
      </w:r>
      <w:r w:rsidR="005948D9">
        <w:t>.</w:t>
      </w:r>
      <w:r w:rsidR="006222F4">
        <w:t xml:space="preserve"> I will create a separate dataset to gather total </w:t>
      </w:r>
      <w:r w:rsidR="00B335CB">
        <w:t>county</w:t>
      </w:r>
      <w:r w:rsidR="006222F4">
        <w:t xml:space="preserve"> population numbers. I wi</w:t>
      </w:r>
      <w:r w:rsidR="001A69A0">
        <w:t xml:space="preserve">ll draw both datasets from </w:t>
      </w:r>
      <w:r w:rsidR="003E42FA">
        <w:t xml:space="preserve">the American Community Survey’s 5-Year Estimates </w:t>
      </w:r>
      <w:r w:rsidR="00135C43">
        <w:t xml:space="preserve">data from 2016. </w:t>
      </w:r>
    </w:p>
    <w:p w14:paraId="1673F142" w14:textId="40FA01E8" w:rsidR="009C3C9C" w:rsidRDefault="00B335CB" w:rsidP="00F7390E">
      <w:r>
        <w:t xml:space="preserve">Two additional variables I use in Question 5 are </w:t>
      </w:r>
      <w:r w:rsidR="006B0E01">
        <w:t>county-level political stance</w:t>
      </w:r>
      <w:r w:rsidR="00A7187F">
        <w:t xml:space="preserve"> and each state’s number of incarcerated non-citizens. The first of these two variables I drew from </w:t>
      </w:r>
      <w:r w:rsidR="008A2739">
        <w:t>Tony McGovern’s work on scraping Townhall.com county-level 2016 election data, that is publicly available to use on his GitHub</w:t>
      </w:r>
      <w:r w:rsidR="00EF5079">
        <w:rPr>
          <w:rStyle w:val="FootnoteReference"/>
        </w:rPr>
        <w:footnoteReference w:id="7"/>
      </w:r>
      <w:r w:rsidR="00EF5079">
        <w:t xml:space="preserve">. The second </w:t>
      </w:r>
      <w:r w:rsidR="00026ED1">
        <w:lastRenderedPageBreak/>
        <w:t xml:space="preserve">variable I took from the </w:t>
      </w:r>
      <w:r w:rsidR="003F1611">
        <w:t xml:space="preserve">Bureau of Justice Statistics’ Annual Survey of Jails data from 2016. </w:t>
      </w:r>
      <w:r w:rsidR="004D6342">
        <w:t xml:space="preserve">Unlike BJS’s Jail Census, the Annual Survey of Jails is conducted yearly. However, it does not </w:t>
      </w:r>
      <w:r w:rsidR="00D567A2">
        <w:t xml:space="preserve">contain data from all U.S. jail jurisdictions, like the Census does. </w:t>
      </w:r>
      <w:r w:rsidR="00FC16C1">
        <w:t>All</w:t>
      </w:r>
      <w:r w:rsidR="00961E42">
        <w:t xml:space="preserve"> this data is jail-level and includes overall demographic inmate data.</w:t>
      </w:r>
    </w:p>
    <w:p w14:paraId="511002A1" w14:textId="26AC28CA" w:rsidR="0007243F" w:rsidRDefault="00D01FDE" w:rsidP="006F2301">
      <w:pPr>
        <w:pStyle w:val="Heading1"/>
      </w:pPr>
      <w:r w:rsidRPr="0073183C">
        <w:t>Measures</w:t>
      </w:r>
    </w:p>
    <w:p w14:paraId="35A59A09" w14:textId="600DE622" w:rsidR="00D01FDE" w:rsidRDefault="00D915FE" w:rsidP="00D915FE">
      <w:r>
        <w:t xml:space="preserve">In </w:t>
      </w:r>
      <w:r w:rsidR="00FC16C1">
        <w:t>all</w:t>
      </w:r>
      <w:r>
        <w:t xml:space="preserve"> my research questions, I will use </w:t>
      </w:r>
      <w:r w:rsidR="003D03AB">
        <w:t>the total number of observations in the Secure Communities Deportations dataset, manipulated in different ways</w:t>
      </w:r>
      <w:r w:rsidR="007F58BD">
        <w:t>. Other variables I will use from this dataset are Arrest State, De</w:t>
      </w:r>
      <w:r w:rsidR="001506CE">
        <w:t>parted Date</w:t>
      </w:r>
      <w:r w:rsidR="007F58BD">
        <w:t xml:space="preserve">, </w:t>
      </w:r>
      <w:r w:rsidR="00E757CC">
        <w:t xml:space="preserve">Most Serious Criminal Conviction </w:t>
      </w:r>
      <w:r w:rsidR="001506CE">
        <w:t>and Citizenship Country.</w:t>
      </w:r>
      <w:r w:rsidR="003D03AB">
        <w:t xml:space="preserve"> </w:t>
      </w:r>
      <w:r w:rsidR="00A952DC">
        <w:t xml:space="preserve">In the second part of Question 2, I will </w:t>
      </w:r>
      <w:r w:rsidR="00DB70C2">
        <w:t xml:space="preserve">break down the “Most Serious Criminal Conviction” variable into two categories: “Migration-related” and “Other”. In doing so I will seek to answer whether </w:t>
      </w:r>
      <w:r w:rsidR="00560A5E">
        <w:t xml:space="preserve">deportees entering the U.S. from the top 5 source countries are being deported mainly on </w:t>
      </w:r>
      <w:r w:rsidR="00530E16">
        <w:t>charges purely tied to their illegal entry, or for more dangerous crimes.</w:t>
      </w:r>
    </w:p>
    <w:p w14:paraId="7BCC8942" w14:textId="088880F3" w:rsidR="001F310C" w:rsidRDefault="001F310C" w:rsidP="00D915FE">
      <w:r>
        <w:t>An additional variable I will use to answer Question</w:t>
      </w:r>
      <w:r w:rsidR="003738B1">
        <w:t>s</w:t>
      </w:r>
      <w:r>
        <w:t xml:space="preserve"> </w:t>
      </w:r>
      <w:r w:rsidR="00A22493">
        <w:t xml:space="preserve">3 </w:t>
      </w:r>
      <w:r w:rsidR="003738B1">
        <w:t xml:space="preserve">and 5 </w:t>
      </w:r>
      <w:r w:rsidR="00A22493">
        <w:t xml:space="preserve">is the “Border” variable, which will </w:t>
      </w:r>
      <w:r w:rsidR="002D25E1">
        <w:t xml:space="preserve">be a dichotomous variable to </w:t>
      </w:r>
      <w:r w:rsidR="00A22493">
        <w:t xml:space="preserve">identify whether a U.S. state shares a land border with either Canada or Mexico. </w:t>
      </w:r>
      <w:r w:rsidR="00EF1BC3">
        <w:t>I will</w:t>
      </w:r>
      <w:r w:rsidR="007E3870">
        <w:t xml:space="preserve"> create this variable, which will</w:t>
      </w:r>
      <w:r w:rsidR="00EF1BC3">
        <w:t xml:space="preserve"> </w:t>
      </w:r>
      <w:r w:rsidR="00A83BEF">
        <w:t xml:space="preserve">exclude states that only have a water border with either country, and states that share water borders with other countries such as </w:t>
      </w:r>
      <w:r w:rsidR="007B319F">
        <w:t xml:space="preserve">Cuba (Florida). As such, my border state list includes the following states: </w:t>
      </w:r>
      <w:r w:rsidR="00672E7B">
        <w:t xml:space="preserve">Texas, Arizona, New Mexico, California, Alaska, Maine, New Hampshire, Vermont, Michigan, Minnesota, </w:t>
      </w:r>
      <w:r w:rsidR="009F3904">
        <w:t>North Dakota, Montana, Idaho, Washington</w:t>
      </w:r>
      <w:r w:rsidR="007E3870">
        <w:t>,</w:t>
      </w:r>
      <w:r w:rsidR="009F3904">
        <w:t xml:space="preserve"> and New York</w:t>
      </w:r>
      <w:r w:rsidR="009F3904">
        <w:rPr>
          <w:rStyle w:val="FootnoteReference"/>
        </w:rPr>
        <w:footnoteReference w:id="8"/>
      </w:r>
      <w:r w:rsidR="007E3870">
        <w:t>.</w:t>
      </w:r>
    </w:p>
    <w:p w14:paraId="3EFE6448" w14:textId="673A2421" w:rsidR="00313914" w:rsidRDefault="00313914" w:rsidP="00D915FE">
      <w:r>
        <w:t>To answer Question</w:t>
      </w:r>
      <w:r w:rsidR="003738B1">
        <w:t>s</w:t>
      </w:r>
      <w:r>
        <w:t xml:space="preserve"> 4</w:t>
      </w:r>
      <w:r w:rsidR="003738B1">
        <w:t xml:space="preserve"> and 5</w:t>
      </w:r>
      <w:r>
        <w:t xml:space="preserve">, I will create a “%_Hispanic” variable which will give each </w:t>
      </w:r>
      <w:r w:rsidR="003738B1">
        <w:t>county</w:t>
      </w:r>
      <w:r>
        <w:t xml:space="preserve">’s </w:t>
      </w:r>
      <w:r w:rsidR="005E60B3">
        <w:t xml:space="preserve">Hispanic population in 2016 as a percentage. I will do this by importing the total population and Hispanic population for each </w:t>
      </w:r>
      <w:r w:rsidR="003738B1">
        <w:t>county</w:t>
      </w:r>
      <w:r w:rsidR="006D296B">
        <w:t xml:space="preserve"> from the American FactFinder data</w:t>
      </w:r>
      <w:r w:rsidR="005E60B3">
        <w:t xml:space="preserve"> as columns, divide the Hispanic by the overall population, and multiply this by 100. </w:t>
      </w:r>
    </w:p>
    <w:p w14:paraId="7BF65093" w14:textId="742B159C" w:rsidR="00103A28" w:rsidRDefault="003A7B94" w:rsidP="003A7B94">
      <w:r>
        <w:t xml:space="preserve">From the Annual Survey of Jails </w:t>
      </w:r>
      <w:r w:rsidR="00A0439A">
        <w:t>data,</w:t>
      </w:r>
      <w:r>
        <w:t xml:space="preserve"> I will pull the variable “NONCITZ”, or the jail </w:t>
      </w:r>
      <w:r w:rsidR="00103A28">
        <w:t xml:space="preserve">population of noncitizen inmates, </w:t>
      </w:r>
      <w:r>
        <w:t xml:space="preserve">collapsed by state. </w:t>
      </w:r>
      <w:r w:rsidR="00103A28">
        <w:t xml:space="preserve">Because this annual survey does not </w:t>
      </w:r>
      <w:r w:rsidR="00F50C59">
        <w:t>represent every U.S. county, I am using state-level population, instead of county-level like most of my other variables.</w:t>
      </w:r>
    </w:p>
    <w:p w14:paraId="552FB652" w14:textId="4BF1B39D" w:rsidR="00530E16" w:rsidRDefault="00BB6D95" w:rsidP="00D915FE">
      <w:r>
        <w:t xml:space="preserve">The 2016 voting data collected by Tony McGovern </w:t>
      </w:r>
      <w:r w:rsidR="00A459E0">
        <w:t xml:space="preserve">gives a complete overview of every U.S. county, </w:t>
      </w:r>
      <w:r w:rsidR="00864631">
        <w:t xml:space="preserve">borough and parish’s number of votes </w:t>
      </w:r>
      <w:r w:rsidR="00370E16">
        <w:t>for the Democratic and Republican presidential candidates, as well as percentages. I will use th</w:t>
      </w:r>
      <w:r w:rsidR="00F079CD">
        <w:t xml:space="preserve">e variable “per_gop” as a proxy for political stance. </w:t>
      </w:r>
      <w:r w:rsidR="0073183C">
        <w:t>I believe this is a fitting variable given then-candidate Trump’s vocal opinions and policies on immigration reform.</w:t>
      </w:r>
    </w:p>
    <w:p w14:paraId="293B80C0" w14:textId="4C8F943F" w:rsidR="0007243F" w:rsidRDefault="0007243F" w:rsidP="006F2301">
      <w:pPr>
        <w:pStyle w:val="Heading1"/>
      </w:pPr>
      <w:r w:rsidRPr="002C2877">
        <w:t>Analytic Strategy</w:t>
      </w:r>
    </w:p>
    <w:p w14:paraId="40F1B285" w14:textId="51D7434A" w:rsidR="00374610" w:rsidRPr="006E6DF4" w:rsidRDefault="001150AC" w:rsidP="001150AC">
      <w:pPr>
        <w:rPr>
          <w:b/>
          <w:color w:val="2F5496" w:themeColor="accent1" w:themeShade="BF"/>
          <w:sz w:val="24"/>
          <w:szCs w:val="24"/>
        </w:rPr>
      </w:pPr>
      <w:r w:rsidRPr="00374610">
        <w:rPr>
          <w:b/>
          <w:color w:val="2F5496" w:themeColor="accent1" w:themeShade="BF"/>
          <w:sz w:val="24"/>
          <w:szCs w:val="24"/>
        </w:rPr>
        <w:t>Q1: Trump Effect</w:t>
      </w:r>
      <w:r w:rsidR="006E6DF4">
        <w:rPr>
          <w:b/>
          <w:color w:val="2F5496" w:themeColor="accent1" w:themeShade="BF"/>
          <w:sz w:val="24"/>
          <w:szCs w:val="24"/>
        </w:rPr>
        <w:t xml:space="preserve"> - </w:t>
      </w:r>
      <w:r w:rsidR="00374610">
        <w:t xml:space="preserve">To measure any potential spike </w:t>
      </w:r>
      <w:r w:rsidR="00D064B5">
        <w:t xml:space="preserve">in deportations that may have come with </w:t>
      </w:r>
      <w:r w:rsidR="009A326E">
        <w:t>expectations of Trump’s future policies affecting immigration into the U.S., I will organize total deportations by Month</w:t>
      </w:r>
      <w:r w:rsidR="00E9565E">
        <w:t xml:space="preserve">-Year, and compare to see if </w:t>
      </w:r>
      <w:r w:rsidR="00923E9D">
        <w:t xml:space="preserve">the level of deportations in November 2016 (when Trump won the election) are significantly different than </w:t>
      </w:r>
      <w:r w:rsidR="00423F83">
        <w:t xml:space="preserve">other months. </w:t>
      </w:r>
    </w:p>
    <w:p w14:paraId="0F8B4CE9" w14:textId="667858B7" w:rsidR="00423F83" w:rsidRPr="006E6DF4" w:rsidRDefault="001150AC" w:rsidP="001150AC">
      <w:pPr>
        <w:rPr>
          <w:b/>
          <w:color w:val="2F5496" w:themeColor="accent1" w:themeShade="BF"/>
          <w:sz w:val="24"/>
          <w:szCs w:val="24"/>
        </w:rPr>
      </w:pPr>
      <w:r w:rsidRPr="00374610">
        <w:rPr>
          <w:b/>
          <w:color w:val="2F5496" w:themeColor="accent1" w:themeShade="BF"/>
          <w:sz w:val="24"/>
          <w:szCs w:val="24"/>
        </w:rPr>
        <w:t>Q2: Targeted Nationalities</w:t>
      </w:r>
      <w:r w:rsidR="006E6DF4">
        <w:rPr>
          <w:b/>
          <w:color w:val="2F5496" w:themeColor="accent1" w:themeShade="BF"/>
          <w:sz w:val="24"/>
          <w:szCs w:val="24"/>
        </w:rPr>
        <w:t xml:space="preserve"> - </w:t>
      </w:r>
      <w:r w:rsidR="001971D5">
        <w:t xml:space="preserve">This question will be answered by descriptive statistical analysis to see what nationalities were deported in the highest numbers between 2015 and 2017. </w:t>
      </w:r>
      <w:r w:rsidR="00B9589F">
        <w:t xml:space="preserve">Once I determine the top 5 source countries, I will count these unique deportations by the reason they </w:t>
      </w:r>
      <w:r w:rsidR="00F90F7C">
        <w:t xml:space="preserve">entered ICE custody (“Most Serious Criminal Conviction”). Through this I will determine whether </w:t>
      </w:r>
      <w:r w:rsidR="00FC16C1">
        <w:t>most</w:t>
      </w:r>
      <w:r w:rsidR="00F90F7C">
        <w:t xml:space="preserve"> deportees were found eligible for deportation because of violent crimes (which is the stated purpose of the Secure Communities program) or </w:t>
      </w:r>
      <w:r w:rsidR="00F90F7C">
        <w:lastRenderedPageBreak/>
        <w:t xml:space="preserve">purely on the </w:t>
      </w:r>
      <w:r w:rsidR="009C1BD7">
        <w:t xml:space="preserve">illegal nature of their entry (which would suggest that Secure Communities indiscriminately targets asylum seekers). </w:t>
      </w:r>
    </w:p>
    <w:p w14:paraId="4C4A48C7" w14:textId="25AB6DDB" w:rsidR="009C1BD7" w:rsidRPr="006E6DF4" w:rsidRDefault="001150AC" w:rsidP="001150AC">
      <w:pPr>
        <w:rPr>
          <w:b/>
          <w:color w:val="2F5496" w:themeColor="accent1" w:themeShade="BF"/>
          <w:sz w:val="24"/>
          <w:szCs w:val="24"/>
        </w:rPr>
      </w:pPr>
      <w:r w:rsidRPr="00374610">
        <w:rPr>
          <w:b/>
          <w:color w:val="2F5496" w:themeColor="accent1" w:themeShade="BF"/>
          <w:sz w:val="24"/>
          <w:szCs w:val="24"/>
        </w:rPr>
        <w:t>Q3: Border vs. Interior Apprehensions</w:t>
      </w:r>
      <w:r w:rsidR="006E6DF4">
        <w:rPr>
          <w:b/>
          <w:color w:val="2F5496" w:themeColor="accent1" w:themeShade="BF"/>
          <w:sz w:val="24"/>
          <w:szCs w:val="24"/>
        </w:rPr>
        <w:t xml:space="preserve"> - </w:t>
      </w:r>
      <w:r w:rsidR="009C1BD7">
        <w:t xml:space="preserve">After labeling every deportation </w:t>
      </w:r>
      <w:r w:rsidR="00B66F3F">
        <w:t xml:space="preserve">as the result of an arrest in a border/interior state, I will find the mean </w:t>
      </w:r>
      <w:r w:rsidR="003A4136">
        <w:t xml:space="preserve">number of arrests by state for both categories. Then, I will apply a t-test to these two means to determine whether the mean </w:t>
      </w:r>
      <w:r w:rsidR="00F558D0">
        <w:t>deportations</w:t>
      </w:r>
      <w:r w:rsidR="003A4136">
        <w:t xml:space="preserve"> are significantly significant depending on whether arrests occur in a </w:t>
      </w:r>
      <w:r w:rsidR="00F558D0">
        <w:t>border or non-border state.</w:t>
      </w:r>
    </w:p>
    <w:p w14:paraId="31ED248D" w14:textId="36D8376A" w:rsidR="00F558D0" w:rsidRPr="006E6DF4" w:rsidRDefault="001150AC" w:rsidP="001150AC">
      <w:pPr>
        <w:rPr>
          <w:b/>
          <w:color w:val="2F5496" w:themeColor="accent1" w:themeShade="BF"/>
          <w:sz w:val="24"/>
          <w:szCs w:val="24"/>
        </w:rPr>
      </w:pPr>
      <w:r w:rsidRPr="00374610">
        <w:rPr>
          <w:b/>
          <w:color w:val="2F5496" w:themeColor="accent1" w:themeShade="BF"/>
          <w:sz w:val="24"/>
          <w:szCs w:val="24"/>
        </w:rPr>
        <w:t>Q4: Effect of Hispanic Population</w:t>
      </w:r>
      <w:r w:rsidR="006E6DF4">
        <w:rPr>
          <w:b/>
          <w:color w:val="2F5496" w:themeColor="accent1" w:themeShade="BF"/>
          <w:sz w:val="24"/>
          <w:szCs w:val="24"/>
        </w:rPr>
        <w:t xml:space="preserve"> - </w:t>
      </w:r>
      <w:r w:rsidR="00A41EB6">
        <w:rPr>
          <w:sz w:val="24"/>
          <w:szCs w:val="24"/>
        </w:rPr>
        <w:t xml:space="preserve">Once I merge each U.S. county’s </w:t>
      </w:r>
      <w:r w:rsidR="004256A9">
        <w:rPr>
          <w:sz w:val="24"/>
          <w:szCs w:val="24"/>
        </w:rPr>
        <w:t>deportation</w:t>
      </w:r>
      <w:r w:rsidR="00A41EB6">
        <w:rPr>
          <w:sz w:val="24"/>
          <w:szCs w:val="24"/>
        </w:rPr>
        <w:t xml:space="preserve"> number with its respective </w:t>
      </w:r>
      <w:r w:rsidR="004256A9">
        <w:rPr>
          <w:sz w:val="24"/>
          <w:szCs w:val="24"/>
        </w:rPr>
        <w:t>Hispanic population percentage, I will perform a simple linear regression to see if deportation number is correlated with the Hispanic population of the county in which the arrest occurred.</w:t>
      </w:r>
    </w:p>
    <w:p w14:paraId="32624433" w14:textId="14A4694B" w:rsidR="006454F8" w:rsidRDefault="001150AC" w:rsidP="00374610">
      <w:r w:rsidRPr="00374610">
        <w:rPr>
          <w:b/>
          <w:color w:val="2F5496" w:themeColor="accent1" w:themeShade="BF"/>
          <w:sz w:val="24"/>
          <w:szCs w:val="24"/>
        </w:rPr>
        <w:t xml:space="preserve">Q5: </w:t>
      </w:r>
      <w:r w:rsidR="00374610" w:rsidRPr="00374610">
        <w:rPr>
          <w:b/>
          <w:color w:val="2F5496" w:themeColor="accent1" w:themeShade="BF"/>
          <w:sz w:val="24"/>
          <w:szCs w:val="24"/>
        </w:rPr>
        <w:t>Interaction of Variables</w:t>
      </w:r>
      <w:r w:rsidR="006E6DF4">
        <w:rPr>
          <w:b/>
          <w:color w:val="2F5496" w:themeColor="accent1" w:themeShade="BF"/>
          <w:sz w:val="24"/>
          <w:szCs w:val="24"/>
        </w:rPr>
        <w:t xml:space="preserve"> – </w:t>
      </w:r>
      <w:r w:rsidR="006E6DF4">
        <w:t>This analy</w:t>
      </w:r>
      <w:r w:rsidR="00C32533">
        <w:t xml:space="preserve">sis will build upon Q4 by adding variables for border, state noncitizen jail population, </w:t>
      </w:r>
      <w:r w:rsidR="00B0696F">
        <w:t xml:space="preserve">and political stance into a multiple regression model to determine whether any of the demographic variables I hypothesize are correlated with the number of deported noncitizens </w:t>
      </w:r>
      <w:r w:rsidR="00146653">
        <w:t>actually are.</w:t>
      </w:r>
    </w:p>
    <w:p w14:paraId="6F9223C6" w14:textId="340B7C84" w:rsidR="0007243F" w:rsidRDefault="0007243F" w:rsidP="009B4A30">
      <w:pPr>
        <w:pStyle w:val="Heading1"/>
      </w:pPr>
      <w:r w:rsidRPr="00C87FA8">
        <w:t>Results</w:t>
      </w:r>
    </w:p>
    <w:p w14:paraId="37B49478" w14:textId="2CA37DD0" w:rsidR="00605AA8" w:rsidRDefault="00605AA8" w:rsidP="00605AA8">
      <w:pPr>
        <w:rPr>
          <w:b/>
          <w:color w:val="2F5496" w:themeColor="accent1" w:themeShade="BF"/>
          <w:sz w:val="24"/>
          <w:szCs w:val="24"/>
        </w:rPr>
      </w:pPr>
      <w:r>
        <w:rPr>
          <w:b/>
          <w:color w:val="2F5496" w:themeColor="accent1" w:themeShade="BF"/>
          <w:sz w:val="24"/>
          <w:szCs w:val="24"/>
        </w:rPr>
        <w:t>Q1: Trump Effect</w:t>
      </w:r>
    </w:p>
    <w:p w14:paraId="171E5215" w14:textId="30A71A71" w:rsidR="00F73116" w:rsidRDefault="00061768" w:rsidP="001C7DD3">
      <w:pPr>
        <w:jc w:val="center"/>
        <w:rPr>
          <w:b/>
          <w:color w:val="2F5496" w:themeColor="accent1" w:themeShade="BF"/>
          <w:sz w:val="24"/>
          <w:szCs w:val="24"/>
        </w:rPr>
      </w:pPr>
      <w:r>
        <w:rPr>
          <w:b/>
          <w:noProof/>
          <w:color w:val="2F5496" w:themeColor="accent1" w:themeShade="BF"/>
          <w:sz w:val="24"/>
          <w:szCs w:val="24"/>
        </w:rPr>
        <w:drawing>
          <wp:inline distT="0" distB="0" distL="0" distR="0" wp14:anchorId="15AE3F77" wp14:editId="7AEA1ADC">
            <wp:extent cx="57340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mp_fig (2).png"/>
                    <pic:cNvPicPr/>
                  </pic:nvPicPr>
                  <pic:blipFill rotWithShape="1">
                    <a:blip r:embed="rId8">
                      <a:extLst>
                        <a:ext uri="{28A0092B-C50C-407E-A947-70E740481C1C}">
                          <a14:useLocalDpi xmlns:a14="http://schemas.microsoft.com/office/drawing/2010/main" val="0"/>
                        </a:ext>
                      </a:extLst>
                    </a:blip>
                    <a:srcRect l="7307" t="8862" r="8894" b="3452"/>
                    <a:stretch/>
                  </pic:blipFill>
                  <pic:spPr bwMode="auto">
                    <a:xfrm>
                      <a:off x="0" y="0"/>
                      <a:ext cx="5734050" cy="3276600"/>
                    </a:xfrm>
                    <a:prstGeom prst="rect">
                      <a:avLst/>
                    </a:prstGeom>
                    <a:ln>
                      <a:noFill/>
                    </a:ln>
                    <a:extLst>
                      <a:ext uri="{53640926-AAD7-44D8-BBD7-CCE9431645EC}">
                        <a14:shadowObscured xmlns:a14="http://schemas.microsoft.com/office/drawing/2010/main"/>
                      </a:ext>
                    </a:extLst>
                  </pic:spPr>
                </pic:pic>
              </a:graphicData>
            </a:graphic>
          </wp:inline>
        </w:drawing>
      </w:r>
    </w:p>
    <w:p w14:paraId="6ED8E407" w14:textId="578DF51E" w:rsidR="005163E7" w:rsidRDefault="00C5577E" w:rsidP="001C7DD3">
      <w:pPr>
        <w:jc w:val="center"/>
        <w:rPr>
          <w:b/>
          <w:color w:val="2F5496" w:themeColor="accent1" w:themeShade="BF"/>
          <w:sz w:val="24"/>
          <w:szCs w:val="24"/>
        </w:rPr>
      </w:pPr>
      <w:r>
        <w:rPr>
          <w:b/>
          <w:color w:val="2F5496" w:themeColor="accent1" w:themeShade="BF"/>
          <w:sz w:val="24"/>
          <w:szCs w:val="24"/>
        </w:rPr>
        <w:t>Mean Monthly Deportations: 4986.73</w:t>
      </w:r>
    </w:p>
    <w:p w14:paraId="7C0159F5" w14:textId="6341CF8F" w:rsidR="00C5577E" w:rsidRDefault="00C5577E" w:rsidP="001C7DD3">
      <w:pPr>
        <w:jc w:val="center"/>
        <w:rPr>
          <w:b/>
          <w:color w:val="2F5496" w:themeColor="accent1" w:themeShade="BF"/>
          <w:sz w:val="24"/>
          <w:szCs w:val="24"/>
        </w:rPr>
      </w:pPr>
      <w:r>
        <w:rPr>
          <w:b/>
          <w:color w:val="2F5496" w:themeColor="accent1" w:themeShade="BF"/>
          <w:sz w:val="24"/>
          <w:szCs w:val="24"/>
        </w:rPr>
        <w:t xml:space="preserve">November 2016 Deportations: </w:t>
      </w:r>
      <w:r w:rsidR="0063015F">
        <w:rPr>
          <w:b/>
          <w:color w:val="2F5496" w:themeColor="accent1" w:themeShade="BF"/>
          <w:sz w:val="24"/>
          <w:szCs w:val="24"/>
        </w:rPr>
        <w:t>5591</w:t>
      </w:r>
    </w:p>
    <w:p w14:paraId="6EC47F35" w14:textId="6A340B0B" w:rsidR="0063015F" w:rsidRDefault="00F72254" w:rsidP="0063015F">
      <w:r>
        <w:t xml:space="preserve">The number of </w:t>
      </w:r>
      <w:r w:rsidR="00B54C69">
        <w:t xml:space="preserve">deportations that occurred through Secure Communities in the month that Trump was elected president (November 2016) was 5591, which </w:t>
      </w:r>
      <w:r w:rsidR="00DA7A57">
        <w:t xml:space="preserve">was approximately 604 </w:t>
      </w:r>
      <w:r w:rsidR="00B54C69">
        <w:t>higher than the average</w:t>
      </w:r>
      <w:r w:rsidR="00DA7A57">
        <w:t xml:space="preserve"> number of monthly deportations during th</w:t>
      </w:r>
      <w:r w:rsidR="00A80944">
        <w:t xml:space="preserve">e entire period. </w:t>
      </w:r>
    </w:p>
    <w:p w14:paraId="0AC03D83" w14:textId="77777777" w:rsidR="00061768" w:rsidRPr="0063015F" w:rsidRDefault="00061768" w:rsidP="0063015F"/>
    <w:p w14:paraId="3D7D7197" w14:textId="2B3FDAB4" w:rsidR="004C6033" w:rsidRDefault="004C6033" w:rsidP="00605AA8">
      <w:pPr>
        <w:rPr>
          <w:b/>
          <w:color w:val="2F5496" w:themeColor="accent1" w:themeShade="BF"/>
          <w:sz w:val="24"/>
          <w:szCs w:val="24"/>
        </w:rPr>
      </w:pPr>
      <w:r>
        <w:rPr>
          <w:b/>
          <w:color w:val="2F5496" w:themeColor="accent1" w:themeShade="BF"/>
          <w:sz w:val="24"/>
          <w:szCs w:val="24"/>
        </w:rPr>
        <w:lastRenderedPageBreak/>
        <w:t>Q2: Targeted Nationalities</w:t>
      </w:r>
    </w:p>
    <w:tbl>
      <w:tblPr>
        <w:tblW w:w="7842" w:type="dxa"/>
        <w:tblInd w:w="817" w:type="dxa"/>
        <w:tblCellMar>
          <w:top w:w="15" w:type="dxa"/>
          <w:left w:w="15" w:type="dxa"/>
          <w:bottom w:w="15" w:type="dxa"/>
          <w:right w:w="15" w:type="dxa"/>
        </w:tblCellMar>
        <w:tblLook w:val="04A0" w:firstRow="1" w:lastRow="0" w:firstColumn="1" w:lastColumn="0" w:noHBand="0" w:noVBand="1"/>
      </w:tblPr>
      <w:tblGrid>
        <w:gridCol w:w="3111"/>
        <w:gridCol w:w="4731"/>
      </w:tblGrid>
      <w:tr w:rsidR="009E34A9" w:rsidRPr="009E34A9" w14:paraId="6046FB6D" w14:textId="77777777" w:rsidTr="00A22A8C">
        <w:trPr>
          <w:trHeight w:val="150"/>
        </w:trPr>
        <w:tc>
          <w:tcPr>
            <w:tcW w:w="0" w:type="auto"/>
            <w:tcBorders>
              <w:top w:val="single" w:sz="6" w:space="0" w:color="9E9E9E"/>
              <w:left w:val="single" w:sz="6" w:space="0" w:color="9E9E9E"/>
              <w:bottom w:val="single" w:sz="6" w:space="0" w:color="9E9E9E"/>
              <w:right w:val="single" w:sz="6" w:space="0" w:color="9E9E9E"/>
            </w:tcBorders>
            <w:shd w:val="clear" w:color="auto" w:fill="3C78D8"/>
            <w:tcMar>
              <w:top w:w="150" w:type="dxa"/>
              <w:left w:w="150" w:type="dxa"/>
              <w:bottom w:w="150" w:type="dxa"/>
              <w:right w:w="150" w:type="dxa"/>
            </w:tcMar>
            <w:hideMark/>
          </w:tcPr>
          <w:p w14:paraId="29B3F8C4" w14:textId="4D12A669"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Times New Roman" w:eastAsia="Times New Roman" w:hAnsi="Times New Roman" w:cs="Times New Roman"/>
                <w:sz w:val="24"/>
                <w:szCs w:val="24"/>
              </w:rPr>
              <w:t> </w:t>
            </w:r>
            <w:r w:rsidRPr="009E34A9">
              <w:rPr>
                <w:rFonts w:ascii="Arial" w:eastAsia="Times New Roman" w:hAnsi="Arial" w:cs="Arial"/>
                <w:b/>
                <w:bCs/>
                <w:color w:val="FFFFFF"/>
                <w:sz w:val="24"/>
                <w:szCs w:val="24"/>
              </w:rPr>
              <w:t>Citizenship Country</w:t>
            </w:r>
          </w:p>
        </w:tc>
        <w:tc>
          <w:tcPr>
            <w:tcW w:w="0" w:type="auto"/>
            <w:tcBorders>
              <w:top w:val="single" w:sz="6" w:space="0" w:color="9E9E9E"/>
              <w:left w:val="single" w:sz="6" w:space="0" w:color="9E9E9E"/>
              <w:bottom w:val="single" w:sz="6" w:space="0" w:color="9E9E9E"/>
              <w:right w:val="single" w:sz="6" w:space="0" w:color="9E9E9E"/>
            </w:tcBorders>
            <w:shd w:val="clear" w:color="auto" w:fill="3C78D8"/>
            <w:tcMar>
              <w:top w:w="150" w:type="dxa"/>
              <w:left w:w="150" w:type="dxa"/>
              <w:bottom w:w="150" w:type="dxa"/>
              <w:right w:w="150" w:type="dxa"/>
            </w:tcMar>
            <w:hideMark/>
          </w:tcPr>
          <w:p w14:paraId="785B43DA" w14:textId="318A9C1A" w:rsidR="009E34A9" w:rsidRPr="009E34A9" w:rsidRDefault="009A1E1B" w:rsidP="009E34A9">
            <w:pPr>
              <w:spacing w:after="0" w:line="240" w:lineRule="auto"/>
              <w:rPr>
                <w:rFonts w:ascii="Times New Roman" w:eastAsia="Times New Roman" w:hAnsi="Times New Roman" w:cs="Times New Roman"/>
                <w:sz w:val="24"/>
                <w:szCs w:val="24"/>
              </w:rPr>
            </w:pPr>
            <w:r>
              <w:rPr>
                <w:rFonts w:ascii="Arial" w:eastAsia="Times New Roman" w:hAnsi="Arial" w:cs="Arial"/>
                <w:b/>
                <w:bCs/>
                <w:color w:val="FFFFFF"/>
                <w:sz w:val="24"/>
                <w:szCs w:val="24"/>
              </w:rPr>
              <w:t>Deportation</w:t>
            </w:r>
            <w:r w:rsidR="009E34A9" w:rsidRPr="009E34A9">
              <w:rPr>
                <w:rFonts w:ascii="Arial" w:eastAsia="Times New Roman" w:hAnsi="Arial" w:cs="Arial"/>
                <w:b/>
                <w:bCs/>
                <w:color w:val="FFFFFF"/>
                <w:sz w:val="24"/>
                <w:szCs w:val="24"/>
              </w:rPr>
              <w:t xml:space="preserve"> Number (2015-2017)</w:t>
            </w:r>
          </w:p>
        </w:tc>
      </w:tr>
      <w:tr w:rsidR="009E34A9" w:rsidRPr="009E34A9" w14:paraId="7A2EB10F" w14:textId="77777777" w:rsidTr="00A22A8C">
        <w:trPr>
          <w:trHeight w:val="1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2880E8"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Mexico</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E604DF"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113697</w:t>
            </w:r>
          </w:p>
          <w:p w14:paraId="1D55A885" w14:textId="77777777" w:rsidR="009E34A9" w:rsidRPr="009E34A9" w:rsidRDefault="009E34A9" w:rsidP="009E34A9">
            <w:pPr>
              <w:spacing w:after="0" w:line="240" w:lineRule="auto"/>
              <w:rPr>
                <w:rFonts w:ascii="Times New Roman" w:eastAsia="Times New Roman" w:hAnsi="Times New Roman" w:cs="Times New Roman"/>
                <w:sz w:val="24"/>
                <w:szCs w:val="24"/>
              </w:rPr>
            </w:pPr>
          </w:p>
        </w:tc>
      </w:tr>
      <w:tr w:rsidR="009E34A9" w:rsidRPr="009E34A9" w14:paraId="63FB682D" w14:textId="77777777" w:rsidTr="00A22A8C">
        <w:trPr>
          <w:trHeight w:val="1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4B75DF"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Honduras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F5DBBB"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9086</w:t>
            </w:r>
          </w:p>
        </w:tc>
      </w:tr>
      <w:tr w:rsidR="009E34A9" w:rsidRPr="009E34A9" w14:paraId="2B9783A0" w14:textId="77777777" w:rsidTr="00A22A8C">
        <w:trPr>
          <w:trHeight w:val="1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D87EFC"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Guatemala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8C4DF6"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8610</w:t>
            </w:r>
          </w:p>
        </w:tc>
      </w:tr>
      <w:tr w:rsidR="009E34A9" w:rsidRPr="009E34A9" w14:paraId="3F1DAC24" w14:textId="77777777" w:rsidTr="00A22A8C">
        <w:trPr>
          <w:trHeight w:val="1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A15FDF"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El Salvador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E7EA8B"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6859</w:t>
            </w:r>
          </w:p>
        </w:tc>
      </w:tr>
      <w:tr w:rsidR="009E34A9" w:rsidRPr="009E34A9" w14:paraId="69B551FF" w14:textId="77777777" w:rsidTr="00A22A8C">
        <w:trPr>
          <w:trHeight w:val="1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61AC27"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Jamaica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165485" w14:textId="77777777" w:rsidR="009E34A9" w:rsidRPr="009E34A9" w:rsidRDefault="009E34A9" w:rsidP="009E34A9">
            <w:pPr>
              <w:spacing w:after="0" w:line="240" w:lineRule="auto"/>
              <w:rPr>
                <w:rFonts w:ascii="Times New Roman" w:eastAsia="Times New Roman" w:hAnsi="Times New Roman" w:cs="Times New Roman"/>
                <w:sz w:val="24"/>
                <w:szCs w:val="24"/>
              </w:rPr>
            </w:pPr>
            <w:r w:rsidRPr="009E34A9">
              <w:rPr>
                <w:rFonts w:ascii="Arial" w:eastAsia="Times New Roman" w:hAnsi="Arial" w:cs="Arial"/>
                <w:color w:val="000000"/>
                <w:sz w:val="24"/>
                <w:szCs w:val="24"/>
              </w:rPr>
              <w:t>871</w:t>
            </w:r>
          </w:p>
        </w:tc>
      </w:tr>
    </w:tbl>
    <w:p w14:paraId="7D942776" w14:textId="005C7E13" w:rsidR="00F37279" w:rsidRDefault="00B33871" w:rsidP="00B33871">
      <w:pPr>
        <w:jc w:val="center"/>
        <w:rPr>
          <w:b/>
          <w:color w:val="2F5496" w:themeColor="accent1" w:themeShade="BF"/>
          <w:sz w:val="24"/>
          <w:szCs w:val="24"/>
        </w:rPr>
      </w:pPr>
      <w:r>
        <w:rPr>
          <w:b/>
          <w:color w:val="2F5496" w:themeColor="accent1" w:themeShade="BF"/>
          <w:sz w:val="24"/>
          <w:szCs w:val="24"/>
        </w:rPr>
        <w:t xml:space="preserve">Total </w:t>
      </w:r>
      <w:r w:rsidR="009A1E1B">
        <w:rPr>
          <w:b/>
          <w:color w:val="2F5496" w:themeColor="accent1" w:themeShade="BF"/>
          <w:sz w:val="24"/>
          <w:szCs w:val="24"/>
        </w:rPr>
        <w:t>D</w:t>
      </w:r>
      <w:r w:rsidR="00146B03">
        <w:rPr>
          <w:b/>
          <w:color w:val="2F5496" w:themeColor="accent1" w:themeShade="BF"/>
          <w:sz w:val="24"/>
          <w:szCs w:val="24"/>
        </w:rPr>
        <w:t>eportation</w:t>
      </w:r>
      <w:r w:rsidR="00F37279">
        <w:rPr>
          <w:b/>
          <w:color w:val="2F5496" w:themeColor="accent1" w:themeShade="BF"/>
          <w:sz w:val="24"/>
          <w:szCs w:val="24"/>
        </w:rPr>
        <w:t>s: 149,607</w:t>
      </w:r>
    </w:p>
    <w:p w14:paraId="775D5EE3" w14:textId="4CEAB5B2" w:rsidR="00B21E1C" w:rsidRPr="00B21E1C" w:rsidRDefault="00B21E1C" w:rsidP="00B21E1C">
      <w:r>
        <w:t xml:space="preserve">The </w:t>
      </w:r>
      <w:r w:rsidR="00667090">
        <w:t xml:space="preserve">four highest </w:t>
      </w:r>
      <w:r w:rsidR="00577241">
        <w:t xml:space="preserve">origin countries of deported individuals through SC are Mexico and the “Northern Triangle” </w:t>
      </w:r>
      <w:r w:rsidR="0076788F">
        <w:t xml:space="preserve">countries just below it, Honduras, Guatemala and El Salvador. </w:t>
      </w:r>
      <w:r w:rsidR="00575FFC">
        <w:t xml:space="preserve">This is congruent with the </w:t>
      </w:r>
      <w:r w:rsidR="002210FE">
        <w:t>fact that individuals from these countries are seeking asylum at the U.S.-Mexico border in higher numbers now than ever before</w:t>
      </w:r>
      <w:r w:rsidR="002210FE">
        <w:rPr>
          <w:rStyle w:val="FootnoteReference"/>
        </w:rPr>
        <w:footnoteReference w:id="9"/>
      </w:r>
      <w:r w:rsidR="005B1350">
        <w:t xml:space="preserve">. </w:t>
      </w:r>
      <w:r w:rsidR="00FF3188">
        <w:t xml:space="preserve">Arrests and deportations from the top five origin </w:t>
      </w:r>
      <w:r w:rsidR="00FE07C5">
        <w:t>countries dwarf the remainder</w:t>
      </w:r>
      <w:r w:rsidR="00F06089">
        <w:t xml:space="preserve">; only 7% of all arrests during the 2015-2017 period came from countries other than those included above. </w:t>
      </w:r>
    </w:p>
    <w:p w14:paraId="4BB605D4" w14:textId="3B711DE1" w:rsidR="006203F6" w:rsidRDefault="00146B03" w:rsidP="00B33871">
      <w:pPr>
        <w:jc w:val="center"/>
        <w:rPr>
          <w:b/>
          <w:color w:val="2F5496" w:themeColor="accent1" w:themeShade="BF"/>
          <w:sz w:val="24"/>
          <w:szCs w:val="24"/>
        </w:rPr>
      </w:pPr>
      <w:r>
        <w:rPr>
          <w:b/>
          <w:noProof/>
          <w:color w:val="2F5496" w:themeColor="accent1" w:themeShade="BF"/>
          <w:sz w:val="24"/>
          <w:szCs w:val="24"/>
        </w:rPr>
        <w:drawing>
          <wp:inline distT="0" distB="0" distL="0" distR="0" wp14:anchorId="0315ED46" wp14:editId="6BAC3355">
            <wp:extent cx="4667250" cy="26193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ED65D0" w14:textId="77777777" w:rsidR="00146B03" w:rsidRDefault="00146B03" w:rsidP="00B33871">
      <w:pPr>
        <w:jc w:val="center"/>
        <w:rPr>
          <w:b/>
          <w:color w:val="2F5496" w:themeColor="accent1" w:themeShade="BF"/>
          <w:sz w:val="24"/>
          <w:szCs w:val="24"/>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2762"/>
      </w:tblGrid>
      <w:tr w:rsidR="00597FAC" w14:paraId="133A3096" w14:textId="77777777" w:rsidTr="00D96E83">
        <w:trPr>
          <w:cnfStyle w:val="100000000000" w:firstRow="1" w:lastRow="0" w:firstColumn="0" w:lastColumn="0" w:oddVBand="0" w:evenVBand="0" w:oddHBand="0" w:evenHBand="0" w:firstRowFirstColumn="0" w:firstRowLastColumn="0" w:lastRowFirstColumn="0" w:lastRowLastColumn="0"/>
          <w:trHeight w:val="665"/>
        </w:trPr>
        <w:tc>
          <w:tcPr>
            <w:cnfStyle w:val="001000000100" w:firstRow="0" w:lastRow="0" w:firstColumn="1" w:lastColumn="0" w:oddVBand="0" w:evenVBand="0" w:oddHBand="0" w:evenHBand="0" w:firstRowFirstColumn="1" w:firstRowLastColumn="0" w:lastRowFirstColumn="0" w:lastRowLastColumn="0"/>
            <w:tcW w:w="3116" w:type="dxa"/>
            <w:tcBorders>
              <w:bottom w:val="none" w:sz="0" w:space="0" w:color="auto"/>
              <w:right w:val="none" w:sz="0" w:space="0" w:color="auto"/>
            </w:tcBorders>
          </w:tcPr>
          <w:p w14:paraId="4FEF7FA8" w14:textId="11BA31F7" w:rsidR="00597FAC" w:rsidRPr="00D96E83" w:rsidRDefault="00707C41" w:rsidP="00707C41">
            <w:pPr>
              <w:jc w:val="center"/>
              <w:rPr>
                <w:rFonts w:ascii="Arial" w:hAnsi="Arial" w:cs="Arial"/>
              </w:rPr>
            </w:pPr>
            <w:r w:rsidRPr="00D96E83">
              <w:rPr>
                <w:rFonts w:ascii="Arial" w:hAnsi="Arial" w:cs="Arial"/>
              </w:rPr>
              <w:t>Citizenship Country</w:t>
            </w:r>
          </w:p>
        </w:tc>
        <w:tc>
          <w:tcPr>
            <w:tcW w:w="3117" w:type="dxa"/>
          </w:tcPr>
          <w:p w14:paraId="32011E7B" w14:textId="763506E6" w:rsidR="00597FAC" w:rsidRPr="00D96E83" w:rsidRDefault="00D84767" w:rsidP="00707C4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96E83">
              <w:rPr>
                <w:rFonts w:ascii="Arial" w:hAnsi="Arial" w:cs="Arial"/>
              </w:rPr>
              <w:t>Migration-Related Deportation</w:t>
            </w:r>
          </w:p>
        </w:tc>
        <w:tc>
          <w:tcPr>
            <w:tcW w:w="2762" w:type="dxa"/>
          </w:tcPr>
          <w:p w14:paraId="6FFB3557" w14:textId="3E9643F2" w:rsidR="00597FAC" w:rsidRPr="00D96E83" w:rsidRDefault="00D84767" w:rsidP="00707C4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96E83">
              <w:rPr>
                <w:rFonts w:ascii="Arial" w:hAnsi="Arial" w:cs="Arial"/>
              </w:rPr>
              <w:t>Other Deportation</w:t>
            </w:r>
          </w:p>
        </w:tc>
      </w:tr>
      <w:tr w:rsidR="00597FAC" w14:paraId="63CA87BF" w14:textId="77777777" w:rsidTr="00D96E8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right w:val="none" w:sz="0" w:space="0" w:color="auto"/>
            </w:tcBorders>
          </w:tcPr>
          <w:p w14:paraId="3A66A636" w14:textId="2C544D74" w:rsidR="00597FAC" w:rsidRPr="00D96E83" w:rsidRDefault="00597FAC" w:rsidP="00707C41">
            <w:pPr>
              <w:jc w:val="center"/>
              <w:rPr>
                <w:rFonts w:ascii="Arial" w:hAnsi="Arial" w:cs="Arial"/>
                <w:b w:val="0"/>
                <w:color w:val="000000" w:themeColor="text1"/>
              </w:rPr>
            </w:pPr>
            <w:r w:rsidRPr="00D96E83">
              <w:rPr>
                <w:rFonts w:ascii="Arial" w:hAnsi="Arial" w:cs="Arial"/>
                <w:b w:val="0"/>
                <w:color w:val="000000" w:themeColor="text1"/>
              </w:rPr>
              <w:t>Mexico</w:t>
            </w:r>
          </w:p>
        </w:tc>
        <w:tc>
          <w:tcPr>
            <w:tcW w:w="3117" w:type="dxa"/>
            <w:tcBorders>
              <w:top w:val="none" w:sz="0" w:space="0" w:color="auto"/>
              <w:bottom w:val="none" w:sz="0" w:space="0" w:color="auto"/>
            </w:tcBorders>
          </w:tcPr>
          <w:p w14:paraId="0F03368B" w14:textId="719FA8F3" w:rsidR="00597FAC" w:rsidRPr="00D96E83" w:rsidRDefault="00597FAC" w:rsidP="00707C4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15671</w:t>
            </w:r>
          </w:p>
        </w:tc>
        <w:tc>
          <w:tcPr>
            <w:tcW w:w="2762" w:type="dxa"/>
            <w:tcBorders>
              <w:top w:val="none" w:sz="0" w:space="0" w:color="auto"/>
              <w:bottom w:val="none" w:sz="0" w:space="0" w:color="auto"/>
            </w:tcBorders>
          </w:tcPr>
          <w:p w14:paraId="09502C92" w14:textId="17A5C392" w:rsidR="00597FAC" w:rsidRPr="00D96E83" w:rsidRDefault="00597FAC" w:rsidP="00707C4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92586</w:t>
            </w:r>
          </w:p>
        </w:tc>
      </w:tr>
      <w:tr w:rsidR="00597FAC" w14:paraId="43D6F84B" w14:textId="77777777" w:rsidTr="00D96E83">
        <w:trPr>
          <w:trHeight w:val="341"/>
        </w:trPr>
        <w:tc>
          <w:tcPr>
            <w:cnfStyle w:val="001000000000" w:firstRow="0" w:lastRow="0" w:firstColumn="1" w:lastColumn="0" w:oddVBand="0" w:evenVBand="0" w:oddHBand="0" w:evenHBand="0" w:firstRowFirstColumn="0" w:firstRowLastColumn="0" w:lastRowFirstColumn="0" w:lastRowLastColumn="0"/>
            <w:tcW w:w="3116" w:type="dxa"/>
            <w:tcBorders>
              <w:right w:val="none" w:sz="0" w:space="0" w:color="auto"/>
            </w:tcBorders>
          </w:tcPr>
          <w:p w14:paraId="6BC698C1" w14:textId="476853AF" w:rsidR="00597FAC" w:rsidRPr="00D96E83" w:rsidRDefault="00597FAC" w:rsidP="00707C41">
            <w:pPr>
              <w:jc w:val="center"/>
              <w:rPr>
                <w:rFonts w:ascii="Arial" w:hAnsi="Arial" w:cs="Arial"/>
                <w:b w:val="0"/>
                <w:color w:val="000000" w:themeColor="text1"/>
              </w:rPr>
            </w:pPr>
            <w:r w:rsidRPr="00D96E83">
              <w:rPr>
                <w:rFonts w:ascii="Arial" w:hAnsi="Arial" w:cs="Arial"/>
                <w:b w:val="0"/>
                <w:color w:val="000000" w:themeColor="text1"/>
              </w:rPr>
              <w:t>Honduras</w:t>
            </w:r>
          </w:p>
        </w:tc>
        <w:tc>
          <w:tcPr>
            <w:tcW w:w="3117" w:type="dxa"/>
          </w:tcPr>
          <w:p w14:paraId="3CDF134F" w14:textId="2CFD64BD" w:rsidR="00597FAC" w:rsidRPr="00D96E83" w:rsidRDefault="00D84767" w:rsidP="00707C4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1160</w:t>
            </w:r>
          </w:p>
        </w:tc>
        <w:tc>
          <w:tcPr>
            <w:tcW w:w="2762" w:type="dxa"/>
          </w:tcPr>
          <w:p w14:paraId="54F48674" w14:textId="29BA6B77" w:rsidR="00597FAC" w:rsidRPr="00D96E83" w:rsidRDefault="00D84767" w:rsidP="00707C4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7075</w:t>
            </w:r>
          </w:p>
        </w:tc>
      </w:tr>
      <w:tr w:rsidR="00597FAC" w14:paraId="31CE0118" w14:textId="77777777" w:rsidTr="00D96E8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right w:val="none" w:sz="0" w:space="0" w:color="auto"/>
            </w:tcBorders>
          </w:tcPr>
          <w:p w14:paraId="29001B28" w14:textId="2BC82D4F" w:rsidR="00597FAC" w:rsidRPr="00D96E83" w:rsidRDefault="00597FAC" w:rsidP="00707C41">
            <w:pPr>
              <w:jc w:val="center"/>
              <w:rPr>
                <w:rFonts w:ascii="Arial" w:hAnsi="Arial" w:cs="Arial"/>
                <w:b w:val="0"/>
                <w:color w:val="000000" w:themeColor="text1"/>
              </w:rPr>
            </w:pPr>
            <w:r w:rsidRPr="00D96E83">
              <w:rPr>
                <w:rFonts w:ascii="Arial" w:hAnsi="Arial" w:cs="Arial"/>
                <w:b w:val="0"/>
                <w:color w:val="000000" w:themeColor="text1"/>
              </w:rPr>
              <w:t>Guatemala</w:t>
            </w:r>
          </w:p>
        </w:tc>
        <w:tc>
          <w:tcPr>
            <w:tcW w:w="3117" w:type="dxa"/>
            <w:tcBorders>
              <w:top w:val="none" w:sz="0" w:space="0" w:color="auto"/>
              <w:bottom w:val="none" w:sz="0" w:space="0" w:color="auto"/>
            </w:tcBorders>
          </w:tcPr>
          <w:p w14:paraId="041E9312" w14:textId="3769EF56" w:rsidR="00597FAC" w:rsidRPr="00D96E83" w:rsidRDefault="00D84767" w:rsidP="00707C4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1119</w:t>
            </w:r>
          </w:p>
        </w:tc>
        <w:tc>
          <w:tcPr>
            <w:tcW w:w="2762" w:type="dxa"/>
            <w:tcBorders>
              <w:top w:val="none" w:sz="0" w:space="0" w:color="auto"/>
              <w:bottom w:val="none" w:sz="0" w:space="0" w:color="auto"/>
            </w:tcBorders>
          </w:tcPr>
          <w:p w14:paraId="23FCBC3C" w14:textId="782D33AD" w:rsidR="00597FAC" w:rsidRPr="00D96E83" w:rsidRDefault="00D84767" w:rsidP="00707C4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6492</w:t>
            </w:r>
          </w:p>
        </w:tc>
      </w:tr>
      <w:tr w:rsidR="00597FAC" w14:paraId="583226AA" w14:textId="77777777" w:rsidTr="00D96E83">
        <w:trPr>
          <w:trHeight w:val="341"/>
        </w:trPr>
        <w:tc>
          <w:tcPr>
            <w:cnfStyle w:val="001000000000" w:firstRow="0" w:lastRow="0" w:firstColumn="1" w:lastColumn="0" w:oddVBand="0" w:evenVBand="0" w:oddHBand="0" w:evenHBand="0" w:firstRowFirstColumn="0" w:firstRowLastColumn="0" w:lastRowFirstColumn="0" w:lastRowLastColumn="0"/>
            <w:tcW w:w="3116" w:type="dxa"/>
            <w:tcBorders>
              <w:right w:val="none" w:sz="0" w:space="0" w:color="auto"/>
            </w:tcBorders>
          </w:tcPr>
          <w:p w14:paraId="470CD181" w14:textId="3D53D64C" w:rsidR="00597FAC" w:rsidRPr="00D96E83" w:rsidRDefault="00597FAC" w:rsidP="00707C41">
            <w:pPr>
              <w:jc w:val="center"/>
              <w:rPr>
                <w:rFonts w:ascii="Arial" w:hAnsi="Arial" w:cs="Arial"/>
                <w:b w:val="0"/>
                <w:color w:val="000000" w:themeColor="text1"/>
              </w:rPr>
            </w:pPr>
            <w:r w:rsidRPr="00D96E83">
              <w:rPr>
                <w:rFonts w:ascii="Arial" w:hAnsi="Arial" w:cs="Arial"/>
                <w:b w:val="0"/>
                <w:color w:val="000000" w:themeColor="text1"/>
              </w:rPr>
              <w:lastRenderedPageBreak/>
              <w:t>El Salvador</w:t>
            </w:r>
          </w:p>
        </w:tc>
        <w:tc>
          <w:tcPr>
            <w:tcW w:w="3117" w:type="dxa"/>
          </w:tcPr>
          <w:p w14:paraId="51CE2F42" w14:textId="0EF9882D" w:rsidR="00597FAC" w:rsidRPr="00D96E83" w:rsidRDefault="00D84767" w:rsidP="00707C4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594</w:t>
            </w:r>
          </w:p>
        </w:tc>
        <w:tc>
          <w:tcPr>
            <w:tcW w:w="2762" w:type="dxa"/>
          </w:tcPr>
          <w:p w14:paraId="6DF7D84E" w14:textId="791156D0" w:rsidR="00597FAC" w:rsidRPr="00D96E83" w:rsidRDefault="00D84767" w:rsidP="00707C4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5707</w:t>
            </w:r>
          </w:p>
        </w:tc>
      </w:tr>
      <w:tr w:rsidR="00597FAC" w14:paraId="76BA858A" w14:textId="77777777" w:rsidTr="00D96E8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bottom w:val="none" w:sz="0" w:space="0" w:color="auto"/>
              <w:right w:val="none" w:sz="0" w:space="0" w:color="auto"/>
            </w:tcBorders>
          </w:tcPr>
          <w:p w14:paraId="17022B31" w14:textId="5761A36A" w:rsidR="00597FAC" w:rsidRPr="00D96E83" w:rsidRDefault="00597FAC" w:rsidP="00707C41">
            <w:pPr>
              <w:jc w:val="center"/>
              <w:rPr>
                <w:rFonts w:ascii="Arial" w:hAnsi="Arial" w:cs="Arial"/>
                <w:b w:val="0"/>
                <w:color w:val="000000" w:themeColor="text1"/>
              </w:rPr>
            </w:pPr>
            <w:r w:rsidRPr="00D96E83">
              <w:rPr>
                <w:rFonts w:ascii="Arial" w:hAnsi="Arial" w:cs="Arial"/>
                <w:b w:val="0"/>
                <w:color w:val="000000" w:themeColor="text1"/>
              </w:rPr>
              <w:t>Jamaica</w:t>
            </w:r>
          </w:p>
        </w:tc>
        <w:tc>
          <w:tcPr>
            <w:tcW w:w="3117" w:type="dxa"/>
            <w:tcBorders>
              <w:top w:val="none" w:sz="0" w:space="0" w:color="auto"/>
              <w:bottom w:val="none" w:sz="0" w:space="0" w:color="auto"/>
            </w:tcBorders>
          </w:tcPr>
          <w:p w14:paraId="493FABB3" w14:textId="09BE837A" w:rsidR="00597FAC" w:rsidRPr="00D96E83" w:rsidRDefault="00D84767" w:rsidP="00707C4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11</w:t>
            </w:r>
          </w:p>
        </w:tc>
        <w:tc>
          <w:tcPr>
            <w:tcW w:w="2762" w:type="dxa"/>
            <w:tcBorders>
              <w:top w:val="none" w:sz="0" w:space="0" w:color="auto"/>
              <w:bottom w:val="none" w:sz="0" w:space="0" w:color="auto"/>
            </w:tcBorders>
          </w:tcPr>
          <w:p w14:paraId="2AAAD502" w14:textId="79D8B21A" w:rsidR="00597FAC" w:rsidRPr="00D96E83" w:rsidRDefault="00D84767" w:rsidP="00707C4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96E83">
              <w:rPr>
                <w:rFonts w:ascii="Arial" w:hAnsi="Arial" w:cs="Arial"/>
                <w:color w:val="000000" w:themeColor="text1"/>
              </w:rPr>
              <w:t>834</w:t>
            </w:r>
          </w:p>
        </w:tc>
      </w:tr>
    </w:tbl>
    <w:p w14:paraId="37CEC262" w14:textId="1ECCADF8" w:rsidR="005B6C87" w:rsidRDefault="005B6C87" w:rsidP="00605AA8">
      <w:pPr>
        <w:rPr>
          <w:b/>
          <w:color w:val="2F5496" w:themeColor="accent1" w:themeShade="BF"/>
          <w:sz w:val="24"/>
          <w:szCs w:val="24"/>
        </w:rPr>
      </w:pPr>
    </w:p>
    <w:p w14:paraId="2D3AB5D2" w14:textId="38CA14C9" w:rsidR="003A6AF3" w:rsidRDefault="00B7513C" w:rsidP="00605AA8">
      <w:r>
        <w:t xml:space="preserve">When breaking down the charges </w:t>
      </w:r>
      <w:r w:rsidR="00C357AE">
        <w:t xml:space="preserve">under which SC deportees from the top five origin countries were </w:t>
      </w:r>
      <w:r w:rsidR="009574DE">
        <w:t xml:space="preserve">initially detained, the data reflect that </w:t>
      </w:r>
      <w:r w:rsidR="00657AE3">
        <w:t>most</w:t>
      </w:r>
      <w:r w:rsidR="009574DE">
        <w:t xml:space="preserve"> individuals from all five countries were arrested for </w:t>
      </w:r>
      <w:r w:rsidR="00B56BAC">
        <w:t>criminal offenses other than illegal entry or re-entry.</w:t>
      </w:r>
      <w:r w:rsidR="006C3B57">
        <w:t xml:space="preserve"> It is important to note in this case that only in recent years has illegal entry into the U.S. b</w:t>
      </w:r>
      <w:r w:rsidR="00312354">
        <w:t xml:space="preserve">een seen as a criminal (as opposed to a civil) offense. Critics of SC argue that </w:t>
      </w:r>
      <w:r w:rsidR="00D27BBC">
        <w:t>the program is</w:t>
      </w:r>
      <w:r w:rsidR="00D24FCA">
        <w:t xml:space="preserve"> </w:t>
      </w:r>
      <w:r w:rsidR="00F336C4">
        <w:t xml:space="preserve">aiding in the criminalization of illegal entry by deporting large numbers of migrants with illegal entry as their only offense. While this data does show that large numbers of individuals </w:t>
      </w:r>
      <w:r w:rsidR="00E21AD7">
        <w:t xml:space="preserve">who have committed no crime other than illegal entry are being deported through SC, they do not represent </w:t>
      </w:r>
      <w:r w:rsidR="00657AE3">
        <w:t>most</w:t>
      </w:r>
      <w:r w:rsidR="00E21AD7">
        <w:t xml:space="preserve"> deportations.</w:t>
      </w:r>
      <w:r w:rsidR="00B56BAC">
        <w:t xml:space="preserve"> </w:t>
      </w:r>
      <w:r w:rsidR="0014056C">
        <w:t xml:space="preserve">This would seem to be aligned with the stated purpose of SC, but there is no knowing how many deportations </w:t>
      </w:r>
      <w:r w:rsidR="002339F4">
        <w:t>go unreported, and what types of crimes are associated with them.</w:t>
      </w:r>
    </w:p>
    <w:p w14:paraId="3E6398BC" w14:textId="77777777" w:rsidR="00794649" w:rsidRPr="003A6AF3" w:rsidRDefault="00794649" w:rsidP="00605AA8"/>
    <w:p w14:paraId="570DD490" w14:textId="6C0B88E2" w:rsidR="004C6033" w:rsidRDefault="004C6033" w:rsidP="00605AA8">
      <w:pPr>
        <w:rPr>
          <w:b/>
          <w:color w:val="2F5496" w:themeColor="accent1" w:themeShade="BF"/>
          <w:sz w:val="24"/>
          <w:szCs w:val="24"/>
        </w:rPr>
      </w:pPr>
      <w:r>
        <w:rPr>
          <w:b/>
          <w:color w:val="2F5496" w:themeColor="accent1" w:themeShade="BF"/>
          <w:sz w:val="24"/>
          <w:szCs w:val="24"/>
        </w:rPr>
        <w:t>Q3: Border vs. Interior Apprehensions</w:t>
      </w:r>
    </w:p>
    <w:tbl>
      <w:tblPr>
        <w:tblW w:w="6741" w:type="dxa"/>
        <w:tblInd w:w="1432" w:type="dxa"/>
        <w:tblLayout w:type="fixed"/>
        <w:tblCellMar>
          <w:top w:w="15" w:type="dxa"/>
          <w:left w:w="15" w:type="dxa"/>
          <w:bottom w:w="15" w:type="dxa"/>
          <w:right w:w="15" w:type="dxa"/>
        </w:tblCellMar>
        <w:tblLook w:val="04A0" w:firstRow="1" w:lastRow="0" w:firstColumn="1" w:lastColumn="0" w:noHBand="0" w:noVBand="1"/>
      </w:tblPr>
      <w:tblGrid>
        <w:gridCol w:w="2775"/>
        <w:gridCol w:w="3913"/>
        <w:gridCol w:w="53"/>
      </w:tblGrid>
      <w:tr w:rsidR="00E40F20" w:rsidRPr="00E40F20" w14:paraId="3B8E1EDB" w14:textId="6967008F" w:rsidTr="009E34A9">
        <w:trPr>
          <w:trHeight w:val="177"/>
        </w:trPr>
        <w:tc>
          <w:tcPr>
            <w:tcW w:w="2775" w:type="dxa"/>
            <w:tcBorders>
              <w:top w:val="single" w:sz="6" w:space="0" w:color="9E9E9E"/>
              <w:left w:val="single" w:sz="6" w:space="0" w:color="9E9E9E"/>
              <w:bottom w:val="single" w:sz="6" w:space="0" w:color="9E9E9E"/>
              <w:right w:val="single" w:sz="6" w:space="0" w:color="9E9E9E"/>
            </w:tcBorders>
            <w:shd w:val="clear" w:color="auto" w:fill="3C78D8"/>
            <w:tcMar>
              <w:top w:w="150" w:type="dxa"/>
              <w:left w:w="150" w:type="dxa"/>
              <w:bottom w:w="150" w:type="dxa"/>
              <w:right w:w="150" w:type="dxa"/>
            </w:tcMar>
            <w:hideMark/>
          </w:tcPr>
          <w:p w14:paraId="609CD69F" w14:textId="77777777" w:rsidR="00E40F20" w:rsidRPr="00E40F20" w:rsidRDefault="00E40F20" w:rsidP="00E40F20">
            <w:pPr>
              <w:spacing w:after="0" w:line="240" w:lineRule="auto"/>
              <w:jc w:val="center"/>
              <w:rPr>
                <w:rFonts w:ascii="Times New Roman" w:eastAsia="Times New Roman" w:hAnsi="Times New Roman" w:cs="Times New Roman"/>
                <w:sz w:val="24"/>
                <w:szCs w:val="24"/>
              </w:rPr>
            </w:pPr>
            <w:r w:rsidRPr="00E40F20">
              <w:rPr>
                <w:rFonts w:ascii="Arial" w:eastAsia="Times New Roman" w:hAnsi="Arial" w:cs="Arial"/>
                <w:b/>
                <w:bCs/>
                <w:color w:val="FFFFFF"/>
                <w:sz w:val="24"/>
                <w:szCs w:val="24"/>
              </w:rPr>
              <w:t>Border State?</w:t>
            </w:r>
          </w:p>
        </w:tc>
        <w:tc>
          <w:tcPr>
            <w:tcW w:w="3913" w:type="dxa"/>
            <w:tcBorders>
              <w:top w:val="single" w:sz="6" w:space="0" w:color="9E9E9E"/>
              <w:left w:val="single" w:sz="6" w:space="0" w:color="9E9E9E"/>
              <w:bottom w:val="single" w:sz="6" w:space="0" w:color="9E9E9E"/>
              <w:right w:val="single" w:sz="6" w:space="0" w:color="9E9E9E"/>
            </w:tcBorders>
            <w:shd w:val="clear" w:color="auto" w:fill="3C78D8"/>
            <w:tcMar>
              <w:top w:w="150" w:type="dxa"/>
              <w:left w:w="150" w:type="dxa"/>
              <w:bottom w:w="150" w:type="dxa"/>
              <w:right w:w="150" w:type="dxa"/>
            </w:tcMar>
            <w:hideMark/>
          </w:tcPr>
          <w:p w14:paraId="7BE2817A" w14:textId="77777777" w:rsidR="00E40F20" w:rsidRPr="00E40F20" w:rsidRDefault="00E40F20" w:rsidP="00E40F20">
            <w:pPr>
              <w:spacing w:after="0" w:line="240" w:lineRule="auto"/>
              <w:jc w:val="center"/>
              <w:rPr>
                <w:rFonts w:ascii="Times New Roman" w:eastAsia="Times New Roman" w:hAnsi="Times New Roman" w:cs="Times New Roman"/>
                <w:sz w:val="24"/>
                <w:szCs w:val="24"/>
              </w:rPr>
            </w:pPr>
            <w:r w:rsidRPr="00E40F20">
              <w:rPr>
                <w:rFonts w:ascii="Arial" w:eastAsia="Times New Roman" w:hAnsi="Arial" w:cs="Arial"/>
                <w:b/>
                <w:bCs/>
                <w:color w:val="FFFFFF"/>
                <w:sz w:val="24"/>
                <w:szCs w:val="24"/>
              </w:rPr>
              <w:t>Mean Arrest Number</w:t>
            </w:r>
          </w:p>
        </w:tc>
        <w:tc>
          <w:tcPr>
            <w:tcW w:w="53" w:type="dxa"/>
            <w:tcBorders>
              <w:top w:val="single" w:sz="6" w:space="0" w:color="9E9E9E"/>
              <w:left w:val="single" w:sz="6" w:space="0" w:color="9E9E9E"/>
              <w:bottom w:val="single" w:sz="6" w:space="0" w:color="9E9E9E"/>
              <w:right w:val="single" w:sz="6" w:space="0" w:color="9E9E9E"/>
            </w:tcBorders>
            <w:shd w:val="clear" w:color="auto" w:fill="3C78D8"/>
          </w:tcPr>
          <w:p w14:paraId="2F8D5055" w14:textId="77777777" w:rsidR="00E40F20" w:rsidRPr="00E40F20" w:rsidRDefault="00E40F20" w:rsidP="00E40F20">
            <w:pPr>
              <w:spacing w:after="0" w:line="240" w:lineRule="auto"/>
              <w:jc w:val="center"/>
              <w:rPr>
                <w:rFonts w:ascii="Arial" w:eastAsia="Times New Roman" w:hAnsi="Arial" w:cs="Arial"/>
                <w:b/>
                <w:bCs/>
                <w:color w:val="FFFFFF"/>
                <w:sz w:val="24"/>
                <w:szCs w:val="24"/>
              </w:rPr>
            </w:pPr>
          </w:p>
        </w:tc>
      </w:tr>
      <w:tr w:rsidR="00E40F20" w:rsidRPr="00E40F20" w14:paraId="79BB98F3" w14:textId="3F7F29A9" w:rsidTr="009E34A9">
        <w:trPr>
          <w:trHeight w:val="393"/>
        </w:trPr>
        <w:tc>
          <w:tcPr>
            <w:tcW w:w="277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6428303" w14:textId="7BA8B71F" w:rsidR="00E40F20" w:rsidRPr="00E40F20" w:rsidRDefault="00E40F20" w:rsidP="00E40F20">
            <w:pPr>
              <w:tabs>
                <w:tab w:val="right" w:pos="3174"/>
              </w:tabs>
              <w:spacing w:after="0" w:line="240" w:lineRule="auto"/>
              <w:jc w:val="center"/>
              <w:rPr>
                <w:rFonts w:ascii="Times New Roman" w:eastAsia="Times New Roman" w:hAnsi="Times New Roman" w:cs="Times New Roman"/>
                <w:sz w:val="24"/>
                <w:szCs w:val="24"/>
              </w:rPr>
            </w:pPr>
            <w:r w:rsidRPr="00E40F20">
              <w:rPr>
                <w:rFonts w:ascii="Arial" w:eastAsia="Times New Roman" w:hAnsi="Arial" w:cs="Arial"/>
                <w:color w:val="000000"/>
                <w:sz w:val="24"/>
                <w:szCs w:val="24"/>
              </w:rPr>
              <w:t>No</w:t>
            </w:r>
          </w:p>
        </w:tc>
        <w:tc>
          <w:tcPr>
            <w:tcW w:w="39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A8E08E" w14:textId="77777777" w:rsidR="00E40F20" w:rsidRPr="00E40F20" w:rsidRDefault="00E40F20" w:rsidP="00E40F20">
            <w:pPr>
              <w:spacing w:after="0" w:line="240" w:lineRule="auto"/>
              <w:jc w:val="center"/>
              <w:rPr>
                <w:rFonts w:ascii="Times New Roman" w:eastAsia="Times New Roman" w:hAnsi="Times New Roman" w:cs="Times New Roman"/>
                <w:sz w:val="24"/>
                <w:szCs w:val="24"/>
              </w:rPr>
            </w:pPr>
            <w:r w:rsidRPr="00E40F20">
              <w:rPr>
                <w:rFonts w:ascii="Arial" w:eastAsia="Times New Roman" w:hAnsi="Arial" w:cs="Arial"/>
                <w:color w:val="000000"/>
                <w:sz w:val="24"/>
                <w:szCs w:val="24"/>
              </w:rPr>
              <w:t>1178.1</w:t>
            </w:r>
          </w:p>
        </w:tc>
        <w:tc>
          <w:tcPr>
            <w:tcW w:w="53" w:type="dxa"/>
            <w:tcBorders>
              <w:top w:val="single" w:sz="6" w:space="0" w:color="9E9E9E"/>
              <w:left w:val="single" w:sz="6" w:space="0" w:color="9E9E9E"/>
              <w:bottom w:val="single" w:sz="6" w:space="0" w:color="9E9E9E"/>
              <w:right w:val="single" w:sz="6" w:space="0" w:color="9E9E9E"/>
            </w:tcBorders>
          </w:tcPr>
          <w:p w14:paraId="0C6E18AE" w14:textId="77777777" w:rsidR="00E40F20" w:rsidRPr="00E40F20" w:rsidRDefault="00E40F20" w:rsidP="00E40F20">
            <w:pPr>
              <w:spacing w:after="0" w:line="240" w:lineRule="auto"/>
              <w:jc w:val="center"/>
              <w:rPr>
                <w:rFonts w:ascii="Arial" w:eastAsia="Times New Roman" w:hAnsi="Arial" w:cs="Arial"/>
                <w:color w:val="000000"/>
                <w:sz w:val="24"/>
                <w:szCs w:val="24"/>
              </w:rPr>
            </w:pPr>
          </w:p>
        </w:tc>
      </w:tr>
      <w:tr w:rsidR="00E40F20" w:rsidRPr="00E40F20" w14:paraId="08654A67" w14:textId="05A9684A" w:rsidTr="009E34A9">
        <w:trPr>
          <w:trHeight w:val="78"/>
        </w:trPr>
        <w:tc>
          <w:tcPr>
            <w:tcW w:w="277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E79BAA" w14:textId="77777777" w:rsidR="00E40F20" w:rsidRPr="00E40F20" w:rsidRDefault="00E40F20" w:rsidP="00E40F20">
            <w:pPr>
              <w:spacing w:after="0" w:line="240" w:lineRule="auto"/>
              <w:jc w:val="center"/>
              <w:rPr>
                <w:rFonts w:ascii="Times New Roman" w:eastAsia="Times New Roman" w:hAnsi="Times New Roman" w:cs="Times New Roman"/>
                <w:sz w:val="24"/>
                <w:szCs w:val="24"/>
              </w:rPr>
            </w:pPr>
            <w:r w:rsidRPr="00E40F20">
              <w:rPr>
                <w:rFonts w:ascii="Arial" w:eastAsia="Times New Roman" w:hAnsi="Arial" w:cs="Arial"/>
                <w:color w:val="000000"/>
                <w:sz w:val="24"/>
                <w:szCs w:val="24"/>
              </w:rPr>
              <w:t>Yes</w:t>
            </w:r>
          </w:p>
        </w:tc>
        <w:tc>
          <w:tcPr>
            <w:tcW w:w="39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4B8620" w14:textId="77777777" w:rsidR="00E40F20" w:rsidRPr="00E40F20" w:rsidRDefault="00E40F20" w:rsidP="00E40F20">
            <w:pPr>
              <w:spacing w:after="0" w:line="240" w:lineRule="auto"/>
              <w:jc w:val="center"/>
              <w:rPr>
                <w:rFonts w:ascii="Times New Roman" w:eastAsia="Times New Roman" w:hAnsi="Times New Roman" w:cs="Times New Roman"/>
                <w:sz w:val="24"/>
                <w:szCs w:val="24"/>
              </w:rPr>
            </w:pPr>
            <w:r w:rsidRPr="00E40F20">
              <w:rPr>
                <w:rFonts w:ascii="Arial" w:eastAsia="Times New Roman" w:hAnsi="Arial" w:cs="Arial"/>
                <w:color w:val="000000"/>
                <w:sz w:val="24"/>
                <w:szCs w:val="24"/>
              </w:rPr>
              <w:t>6831.8</w:t>
            </w:r>
          </w:p>
        </w:tc>
        <w:tc>
          <w:tcPr>
            <w:tcW w:w="53" w:type="dxa"/>
            <w:tcBorders>
              <w:top w:val="single" w:sz="6" w:space="0" w:color="9E9E9E"/>
              <w:left w:val="single" w:sz="6" w:space="0" w:color="9E9E9E"/>
              <w:bottom w:val="single" w:sz="6" w:space="0" w:color="9E9E9E"/>
              <w:right w:val="single" w:sz="6" w:space="0" w:color="9E9E9E"/>
            </w:tcBorders>
          </w:tcPr>
          <w:p w14:paraId="4F128F49" w14:textId="77777777" w:rsidR="00E40F20" w:rsidRPr="00E40F20" w:rsidRDefault="00E40F20" w:rsidP="00E40F20">
            <w:pPr>
              <w:spacing w:after="0" w:line="240" w:lineRule="auto"/>
              <w:jc w:val="center"/>
              <w:rPr>
                <w:rFonts w:ascii="Arial" w:eastAsia="Times New Roman" w:hAnsi="Arial" w:cs="Arial"/>
                <w:color w:val="000000"/>
                <w:sz w:val="24"/>
                <w:szCs w:val="24"/>
              </w:rPr>
            </w:pPr>
          </w:p>
        </w:tc>
      </w:tr>
    </w:tbl>
    <w:p w14:paraId="118F2F61" w14:textId="1A7606F3" w:rsidR="00E40F20" w:rsidRDefault="006777AA" w:rsidP="006777AA">
      <w:pPr>
        <w:jc w:val="center"/>
        <w:rPr>
          <w:b/>
          <w:color w:val="2F5496" w:themeColor="accent1" w:themeShade="BF"/>
          <w:sz w:val="24"/>
          <w:szCs w:val="24"/>
        </w:rPr>
      </w:pPr>
      <w:r w:rsidRPr="006777AA">
        <w:rPr>
          <w:b/>
          <w:color w:val="2F5496" w:themeColor="accent1" w:themeShade="BF"/>
          <w:sz w:val="24"/>
          <w:szCs w:val="24"/>
        </w:rPr>
        <w:t>T-Statistic: 2.44</w:t>
      </w:r>
      <w:r>
        <w:rPr>
          <w:b/>
          <w:color w:val="2F5496" w:themeColor="accent1" w:themeShade="BF"/>
          <w:sz w:val="24"/>
          <w:szCs w:val="24"/>
        </w:rPr>
        <w:t xml:space="preserve">, </w:t>
      </w:r>
      <w:r w:rsidRPr="006777AA">
        <w:rPr>
          <w:b/>
          <w:color w:val="2F5496" w:themeColor="accent1" w:themeShade="BF"/>
          <w:sz w:val="24"/>
          <w:szCs w:val="24"/>
        </w:rPr>
        <w:t>P-Value: 0.018</w:t>
      </w:r>
    </w:p>
    <w:p w14:paraId="3CF563CE" w14:textId="0DE73CCA" w:rsidR="00A845FF" w:rsidRDefault="00A432AB" w:rsidP="00A845FF">
      <w:r>
        <w:t xml:space="preserve">As expected, the mean number of arrests and deportations  is much higher in border states </w:t>
      </w:r>
      <w:r w:rsidR="00EB5FFC">
        <w:t xml:space="preserve">than interior states. This may be because most individuals who illegal cross into the U.S. settle </w:t>
      </w:r>
      <w:r w:rsidR="00B21E1C">
        <w:t xml:space="preserve">in the state into which they crossed initially, or nearby. </w:t>
      </w:r>
      <w:r w:rsidR="00A845FF">
        <w:t>A t-test of the</w:t>
      </w:r>
      <w:r>
        <w:t xml:space="preserve"> mean arrests between border and interior state</w:t>
      </w:r>
      <w:r w:rsidR="00B21E1C">
        <w:t xml:space="preserve"> shows that the difference between these two means is statistically significant. </w:t>
      </w:r>
    </w:p>
    <w:p w14:paraId="7B13D8B6" w14:textId="77777777" w:rsidR="00794649" w:rsidRPr="00A845FF" w:rsidRDefault="00794649" w:rsidP="00A845FF"/>
    <w:p w14:paraId="277232E4" w14:textId="45CCC479" w:rsidR="004C6033" w:rsidRDefault="004C6033" w:rsidP="00605AA8">
      <w:pPr>
        <w:rPr>
          <w:b/>
          <w:color w:val="2F5496" w:themeColor="accent1" w:themeShade="BF"/>
          <w:sz w:val="24"/>
          <w:szCs w:val="24"/>
        </w:rPr>
      </w:pPr>
      <w:r>
        <w:rPr>
          <w:b/>
          <w:color w:val="2F5496" w:themeColor="accent1" w:themeShade="BF"/>
          <w:sz w:val="24"/>
          <w:szCs w:val="24"/>
        </w:rPr>
        <w:t>Q4: Effect of Hispanic Population</w:t>
      </w:r>
    </w:p>
    <w:p w14:paraId="5B9A2A7A" w14:textId="39D3D8D0" w:rsidR="001C7DD3" w:rsidRDefault="001C7DD3" w:rsidP="001C7DD3">
      <w:pPr>
        <w:jc w:val="center"/>
        <w:rPr>
          <w:b/>
          <w:color w:val="2F5496" w:themeColor="accent1" w:themeShade="BF"/>
          <w:sz w:val="24"/>
          <w:szCs w:val="24"/>
        </w:rPr>
      </w:pPr>
      <w:r>
        <w:rPr>
          <w:b/>
          <w:noProof/>
          <w:color w:val="2F5496" w:themeColor="accent1" w:themeShade="BF"/>
          <w:sz w:val="24"/>
          <w:szCs w:val="24"/>
        </w:rPr>
        <w:drawing>
          <wp:inline distT="0" distB="0" distL="0" distR="0" wp14:anchorId="20814C31" wp14:editId="5806F34C">
            <wp:extent cx="3943350" cy="2628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s_hisp_plot.png"/>
                    <pic:cNvPicPr/>
                  </pic:nvPicPr>
                  <pic:blipFill>
                    <a:blip r:embed="rId10">
                      <a:extLst>
                        <a:ext uri="{28A0092B-C50C-407E-A947-70E740481C1C}">
                          <a14:useLocalDpi xmlns:a14="http://schemas.microsoft.com/office/drawing/2010/main" val="0"/>
                        </a:ext>
                      </a:extLst>
                    </a:blip>
                    <a:stretch>
                      <a:fillRect/>
                    </a:stretch>
                  </pic:blipFill>
                  <pic:spPr>
                    <a:xfrm>
                      <a:off x="0" y="0"/>
                      <a:ext cx="3943962" cy="2629308"/>
                    </a:xfrm>
                    <a:prstGeom prst="rect">
                      <a:avLst/>
                    </a:prstGeom>
                  </pic:spPr>
                </pic:pic>
              </a:graphicData>
            </a:graphic>
          </wp:inline>
        </w:drawing>
      </w:r>
    </w:p>
    <w:p w14:paraId="0F3187D2" w14:textId="0A7E1E56" w:rsidR="001C7DD3" w:rsidRPr="0019556D" w:rsidRDefault="000C22AD" w:rsidP="0019556D">
      <w:r>
        <w:lastRenderedPageBreak/>
        <w:t xml:space="preserve">This scatter plot of the data tells an interesting story. </w:t>
      </w:r>
      <w:r w:rsidR="00657AE3">
        <w:t>Most</w:t>
      </w:r>
      <w:r w:rsidR="00B35F72">
        <w:t xml:space="preserve"> counties in the U.S. had low levels of arrests during the 2015-2017 period. </w:t>
      </w:r>
      <w:r w:rsidR="00614A60">
        <w:t xml:space="preserve">However, there are a significant number of </w:t>
      </w:r>
      <w:r w:rsidR="009842C0">
        <w:t xml:space="preserve">counties that arrested and deported </w:t>
      </w:r>
      <w:r w:rsidR="00066D27">
        <w:t xml:space="preserve">several times the number of </w:t>
      </w:r>
      <w:r w:rsidR="00F92C00">
        <w:t xml:space="preserve">noncitizens in the country illegally than the </w:t>
      </w:r>
      <w:r w:rsidR="00433AB9">
        <w:t xml:space="preserve">majority. No counties with a Hispanic population less than around 30% arrested and deported more than 2000 individuals during this period, </w:t>
      </w:r>
      <w:r w:rsidR="009C5A47">
        <w:t xml:space="preserve">and the best-fit line generally slopes upward as this percentage increases. The highest-deporting </w:t>
      </w:r>
      <w:r w:rsidR="00A37E11">
        <w:t>counties (6000 individuals and above) are likely located in border states.</w:t>
      </w:r>
    </w:p>
    <w:p w14:paraId="732F527B" w14:textId="77777777" w:rsidR="00B92791" w:rsidRPr="00B92791" w:rsidRDefault="00B92791" w:rsidP="00B9279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4"/>
        <w:gridCol w:w="1675"/>
      </w:tblGrid>
      <w:tr w:rsidR="00B92791" w:rsidRPr="00B92791" w14:paraId="3DC0A674"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797C1BBC" w14:textId="77777777" w:rsidR="00B92791" w:rsidRPr="00B92791" w:rsidRDefault="00B92791" w:rsidP="00B9279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9410099" w14:textId="77777777" w:rsidR="00B92791" w:rsidRPr="00B92791" w:rsidRDefault="00B92791" w:rsidP="00B92791">
            <w:pPr>
              <w:spacing w:before="79" w:after="79" w:line="240" w:lineRule="auto"/>
              <w:jc w:val="center"/>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arrest_number</w:t>
            </w:r>
          </w:p>
        </w:tc>
      </w:tr>
      <w:tr w:rsidR="00B92791" w:rsidRPr="00B92791" w14:paraId="6997A77D"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2BE84D0"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percent_hispanic</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1F9DCC8"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8.446</w:t>
            </w:r>
          </w:p>
        </w:tc>
      </w:tr>
      <w:tr w:rsidR="00B92791" w:rsidRPr="00B92791" w14:paraId="78927633"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7A016783" w14:textId="77777777" w:rsidR="00B92791" w:rsidRPr="00B92791" w:rsidRDefault="00B92791" w:rsidP="00B9279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2ECFC29"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0"/>
                <w:szCs w:val="20"/>
              </w:rPr>
              <w:t>(14.65)**</w:t>
            </w:r>
          </w:p>
        </w:tc>
      </w:tr>
      <w:tr w:rsidR="00B92791" w:rsidRPr="00B92791" w14:paraId="4EB2F9B7"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5CD8368"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_cons</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5836F071"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-24.540</w:t>
            </w:r>
          </w:p>
        </w:tc>
      </w:tr>
      <w:tr w:rsidR="00B92791" w:rsidRPr="00B92791" w14:paraId="2A51AA49"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4322B314" w14:textId="77777777" w:rsidR="00B92791" w:rsidRPr="00B92791" w:rsidRDefault="00B92791" w:rsidP="00B9279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53CD8B0"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0"/>
                <w:szCs w:val="20"/>
              </w:rPr>
              <w:t>(2.24)*</w:t>
            </w:r>
          </w:p>
        </w:tc>
      </w:tr>
      <w:tr w:rsidR="00B92791" w:rsidRPr="00B92791" w14:paraId="0DDED837"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9FE7DE6"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i/>
                <w:iCs/>
                <w:color w:val="000000"/>
                <w:sz w:val="24"/>
                <w:szCs w:val="24"/>
              </w:rPr>
              <w:t>R</w:t>
            </w:r>
            <w:r w:rsidRPr="00B92791">
              <w:rPr>
                <w:rFonts w:ascii="Times New Roman" w:eastAsia="Times New Roman" w:hAnsi="Times New Roman" w:cs="Times New Roman"/>
                <w:color w:val="000000"/>
                <w:sz w:val="14"/>
                <w:szCs w:val="14"/>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5330B00E"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0.10</w:t>
            </w:r>
          </w:p>
        </w:tc>
      </w:tr>
      <w:tr w:rsidR="00B92791" w:rsidRPr="00B92791" w14:paraId="0A87053D" w14:textId="77777777" w:rsidTr="00454601">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39196244"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i/>
                <w:iCs/>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DDB8B98" w14:textId="77777777" w:rsidR="00B92791" w:rsidRPr="00B92791" w:rsidRDefault="00B92791" w:rsidP="00B92791">
            <w:pPr>
              <w:spacing w:after="0" w:line="240" w:lineRule="auto"/>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24"/>
                <w:szCs w:val="24"/>
              </w:rPr>
              <w:t>2,043</w:t>
            </w:r>
          </w:p>
        </w:tc>
      </w:tr>
    </w:tbl>
    <w:p w14:paraId="78E09F6B" w14:textId="77777777" w:rsidR="00B92791" w:rsidRPr="00B92791" w:rsidRDefault="00B92791" w:rsidP="00B92791">
      <w:pPr>
        <w:spacing w:before="79" w:after="79" w:line="240" w:lineRule="auto"/>
        <w:jc w:val="center"/>
        <w:rPr>
          <w:rFonts w:ascii="Times New Roman" w:eastAsia="Times New Roman" w:hAnsi="Times New Roman" w:cs="Times New Roman"/>
          <w:sz w:val="24"/>
          <w:szCs w:val="24"/>
        </w:rPr>
      </w:pPr>
      <w:r w:rsidRPr="00B92791">
        <w:rPr>
          <w:rFonts w:ascii="Times New Roman" w:eastAsia="Times New Roman" w:hAnsi="Times New Roman" w:cs="Times New Roman"/>
          <w:color w:val="000000"/>
          <w:sz w:val="18"/>
          <w:szCs w:val="18"/>
        </w:rPr>
        <w:t xml:space="preserve">* </w:t>
      </w:r>
      <w:r w:rsidRPr="00B92791">
        <w:rPr>
          <w:rFonts w:ascii="Times New Roman" w:eastAsia="Times New Roman" w:hAnsi="Times New Roman" w:cs="Times New Roman"/>
          <w:i/>
          <w:iCs/>
          <w:color w:val="000000"/>
          <w:sz w:val="18"/>
          <w:szCs w:val="18"/>
        </w:rPr>
        <w:t>p</w:t>
      </w:r>
      <w:r w:rsidRPr="00B92791">
        <w:rPr>
          <w:rFonts w:ascii="Times New Roman" w:eastAsia="Times New Roman" w:hAnsi="Times New Roman" w:cs="Times New Roman"/>
          <w:color w:val="000000"/>
          <w:sz w:val="18"/>
          <w:szCs w:val="18"/>
        </w:rPr>
        <w:t xml:space="preserve">&lt;0.05; ** </w:t>
      </w:r>
      <w:r w:rsidRPr="00B92791">
        <w:rPr>
          <w:rFonts w:ascii="Times New Roman" w:eastAsia="Times New Roman" w:hAnsi="Times New Roman" w:cs="Times New Roman"/>
          <w:i/>
          <w:iCs/>
          <w:color w:val="000000"/>
          <w:sz w:val="18"/>
          <w:szCs w:val="18"/>
        </w:rPr>
        <w:t>p</w:t>
      </w:r>
      <w:r w:rsidRPr="00B92791">
        <w:rPr>
          <w:rFonts w:ascii="Times New Roman" w:eastAsia="Times New Roman" w:hAnsi="Times New Roman" w:cs="Times New Roman"/>
          <w:color w:val="000000"/>
          <w:sz w:val="18"/>
          <w:szCs w:val="18"/>
        </w:rPr>
        <w:t>&lt;0.01</w:t>
      </w:r>
    </w:p>
    <w:p w14:paraId="54A1ADEE" w14:textId="4DA6684A" w:rsidR="00AF1533" w:rsidRDefault="00AF1533" w:rsidP="001C7DD3">
      <w:pPr>
        <w:jc w:val="center"/>
        <w:rPr>
          <w:b/>
          <w:color w:val="2F5496" w:themeColor="accent1" w:themeShade="BF"/>
          <w:sz w:val="24"/>
          <w:szCs w:val="24"/>
        </w:rPr>
      </w:pPr>
    </w:p>
    <w:p w14:paraId="03FBB428" w14:textId="75E0FE55" w:rsidR="007310DE" w:rsidRPr="00247AC1" w:rsidRDefault="00247AC1" w:rsidP="007310DE">
      <w:r>
        <w:t xml:space="preserve">A linear regression of the data shows that </w:t>
      </w:r>
      <w:r w:rsidR="001C7F2C">
        <w:t>a county’s Hispanic percentage is significant at a 99% confidence interval.</w:t>
      </w:r>
      <w:r w:rsidR="00906D8F">
        <w:t xml:space="preserve"> However, an r-squared of 0.10 suggests that this association is not very strong.</w:t>
      </w:r>
    </w:p>
    <w:p w14:paraId="63B826B5" w14:textId="77777777" w:rsidR="00794649" w:rsidRDefault="00794649" w:rsidP="00605AA8">
      <w:pPr>
        <w:rPr>
          <w:b/>
          <w:color w:val="2F5496" w:themeColor="accent1" w:themeShade="BF"/>
          <w:sz w:val="24"/>
          <w:szCs w:val="24"/>
        </w:rPr>
      </w:pPr>
    </w:p>
    <w:p w14:paraId="7EAEF717" w14:textId="436DBB53" w:rsidR="004C6033" w:rsidRDefault="004C6033" w:rsidP="00605AA8">
      <w:pPr>
        <w:rPr>
          <w:b/>
          <w:color w:val="2F5496" w:themeColor="accent1" w:themeShade="BF"/>
          <w:sz w:val="24"/>
          <w:szCs w:val="24"/>
        </w:rPr>
      </w:pPr>
      <w:r>
        <w:rPr>
          <w:b/>
          <w:color w:val="2F5496" w:themeColor="accent1" w:themeShade="BF"/>
          <w:sz w:val="24"/>
          <w:szCs w:val="24"/>
        </w:rPr>
        <w:t>Q5: Regression</w:t>
      </w:r>
    </w:p>
    <w:p w14:paraId="1BEB75F3" w14:textId="77777777" w:rsidR="00DA2736" w:rsidRPr="00DA2736" w:rsidRDefault="00DA2736" w:rsidP="00DA2736">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94"/>
        <w:gridCol w:w="1675"/>
      </w:tblGrid>
      <w:tr w:rsidR="00DA2736" w:rsidRPr="00DA2736" w14:paraId="2B09B78D"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3318A007" w14:textId="77777777" w:rsidR="00DA2736" w:rsidRPr="00DA2736" w:rsidRDefault="00DA2736" w:rsidP="00DA27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52C00196" w14:textId="77777777" w:rsidR="00DA2736" w:rsidRPr="00DA2736" w:rsidRDefault="00DA2736" w:rsidP="00DA2736">
            <w:pPr>
              <w:spacing w:before="79" w:after="79" w:line="240" w:lineRule="auto"/>
              <w:jc w:val="center"/>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arrest_number</w:t>
            </w:r>
          </w:p>
        </w:tc>
      </w:tr>
      <w:tr w:rsidR="00DA2736" w:rsidRPr="00DA2736" w14:paraId="76B51B16"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ED370D1"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percent_hispanic</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09BDE8B"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7.276</w:t>
            </w:r>
          </w:p>
        </w:tc>
      </w:tr>
      <w:tr w:rsidR="00DA2736" w:rsidRPr="00DA2736" w14:paraId="06786274"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CDD1BB9" w14:textId="77777777" w:rsidR="00DA2736" w:rsidRPr="00DA2736" w:rsidRDefault="00DA2736" w:rsidP="00DA27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697D4978"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0"/>
                <w:szCs w:val="20"/>
              </w:rPr>
              <w:t>(9.10)**</w:t>
            </w:r>
          </w:p>
        </w:tc>
      </w:tr>
      <w:tr w:rsidR="00DA2736" w:rsidRPr="00DA2736" w14:paraId="1B903D77"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5365B828"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per_gop</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056C355"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-476.975</w:t>
            </w:r>
          </w:p>
        </w:tc>
      </w:tr>
      <w:tr w:rsidR="00DA2736" w:rsidRPr="00DA2736" w14:paraId="7A8D44C7"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792D0CF" w14:textId="77777777" w:rsidR="00DA2736" w:rsidRPr="00DA2736" w:rsidRDefault="00DA2736" w:rsidP="00DA27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26613725"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0"/>
                <w:szCs w:val="20"/>
              </w:rPr>
              <w:t>(6.56)**</w:t>
            </w:r>
          </w:p>
        </w:tc>
      </w:tr>
      <w:tr w:rsidR="00DA2736" w:rsidRPr="00DA2736" w14:paraId="2F1C4277"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8948B4B"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incarceration_number</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5B07F9C"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1.051</w:t>
            </w:r>
          </w:p>
        </w:tc>
      </w:tr>
      <w:tr w:rsidR="00DA2736" w:rsidRPr="00DA2736" w14:paraId="7B254DF5"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6A2E8AF2" w14:textId="77777777" w:rsidR="00DA2736" w:rsidRPr="00DA2736" w:rsidRDefault="00DA2736" w:rsidP="00DA27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6955D34"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0"/>
                <w:szCs w:val="20"/>
              </w:rPr>
              <w:t>(2.07)*</w:t>
            </w:r>
          </w:p>
        </w:tc>
      </w:tr>
      <w:tr w:rsidR="00DA2736" w:rsidRPr="00DA2736" w14:paraId="3A646206"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612CA770"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border</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9206236"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5.062</w:t>
            </w:r>
          </w:p>
        </w:tc>
      </w:tr>
      <w:tr w:rsidR="00DA2736" w:rsidRPr="00DA2736" w14:paraId="54AD1CC1"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381140B2" w14:textId="77777777" w:rsidR="00DA2736" w:rsidRPr="00DA2736" w:rsidRDefault="00DA2736" w:rsidP="00DA27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8EBAF34"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0"/>
                <w:szCs w:val="20"/>
              </w:rPr>
              <w:t>(0.18)</w:t>
            </w:r>
          </w:p>
        </w:tc>
      </w:tr>
      <w:tr w:rsidR="00DA2736" w:rsidRPr="00DA2736" w14:paraId="60E9A141"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1035012A"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_cons</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5C7A750F"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252.254</w:t>
            </w:r>
          </w:p>
        </w:tc>
      </w:tr>
      <w:tr w:rsidR="00DA2736" w:rsidRPr="00DA2736" w14:paraId="10FE320E"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7DDC2E86" w14:textId="77777777" w:rsidR="00DA2736" w:rsidRPr="00DA2736" w:rsidRDefault="00DA2736" w:rsidP="00DA273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2F1CAD0"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0"/>
                <w:szCs w:val="20"/>
              </w:rPr>
              <w:t>(5.12)**</w:t>
            </w:r>
          </w:p>
        </w:tc>
      </w:tr>
      <w:tr w:rsidR="00DA2736" w:rsidRPr="00DA2736" w14:paraId="5106208A" w14:textId="77777777" w:rsidTr="00DA2736">
        <w:trPr>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02D3082D"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i/>
                <w:iCs/>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0" w:type="dxa"/>
              <w:left w:w="144" w:type="dxa"/>
              <w:bottom w:w="0" w:type="dxa"/>
              <w:right w:w="144" w:type="dxa"/>
            </w:tcMar>
            <w:hideMark/>
          </w:tcPr>
          <w:p w14:paraId="74ED5C98" w14:textId="77777777" w:rsidR="00DA2736" w:rsidRPr="00DA2736" w:rsidRDefault="00DA2736" w:rsidP="00DA2736">
            <w:pPr>
              <w:spacing w:after="0" w:line="240" w:lineRule="auto"/>
              <w:rPr>
                <w:rFonts w:ascii="Times New Roman" w:eastAsia="Times New Roman" w:hAnsi="Times New Roman" w:cs="Times New Roman"/>
                <w:sz w:val="24"/>
                <w:szCs w:val="24"/>
              </w:rPr>
            </w:pPr>
            <w:r w:rsidRPr="00DA2736">
              <w:rPr>
                <w:rFonts w:ascii="Times New Roman" w:eastAsia="Times New Roman" w:hAnsi="Times New Roman" w:cs="Times New Roman"/>
                <w:color w:val="000000"/>
                <w:sz w:val="24"/>
                <w:szCs w:val="24"/>
              </w:rPr>
              <w:t>1,482</w:t>
            </w:r>
          </w:p>
        </w:tc>
      </w:tr>
    </w:tbl>
    <w:p w14:paraId="731B3F7F" w14:textId="0BFA6CE9" w:rsidR="00DA2736" w:rsidRDefault="00DA2736" w:rsidP="00DA2736">
      <w:pPr>
        <w:spacing w:before="79" w:after="79" w:line="240" w:lineRule="auto"/>
        <w:jc w:val="center"/>
        <w:rPr>
          <w:rFonts w:ascii="Times New Roman" w:eastAsia="Times New Roman" w:hAnsi="Times New Roman" w:cs="Times New Roman"/>
          <w:color w:val="000000"/>
          <w:sz w:val="18"/>
          <w:szCs w:val="18"/>
        </w:rPr>
      </w:pPr>
      <w:r w:rsidRPr="00DA2736">
        <w:rPr>
          <w:rFonts w:ascii="Times New Roman" w:eastAsia="Times New Roman" w:hAnsi="Times New Roman" w:cs="Times New Roman"/>
          <w:color w:val="000000"/>
          <w:sz w:val="18"/>
          <w:szCs w:val="18"/>
        </w:rPr>
        <w:t xml:space="preserve">* </w:t>
      </w:r>
      <w:r w:rsidRPr="00DA2736">
        <w:rPr>
          <w:rFonts w:ascii="Times New Roman" w:eastAsia="Times New Roman" w:hAnsi="Times New Roman" w:cs="Times New Roman"/>
          <w:i/>
          <w:iCs/>
          <w:color w:val="000000"/>
          <w:sz w:val="18"/>
          <w:szCs w:val="18"/>
        </w:rPr>
        <w:t>p</w:t>
      </w:r>
      <w:r w:rsidRPr="00DA2736">
        <w:rPr>
          <w:rFonts w:ascii="Times New Roman" w:eastAsia="Times New Roman" w:hAnsi="Times New Roman" w:cs="Times New Roman"/>
          <w:color w:val="000000"/>
          <w:sz w:val="18"/>
          <w:szCs w:val="18"/>
        </w:rPr>
        <w:t xml:space="preserve">&lt;0.05; ** </w:t>
      </w:r>
      <w:r w:rsidRPr="00DA2736">
        <w:rPr>
          <w:rFonts w:ascii="Times New Roman" w:eastAsia="Times New Roman" w:hAnsi="Times New Roman" w:cs="Times New Roman"/>
          <w:i/>
          <w:iCs/>
          <w:color w:val="000000"/>
          <w:sz w:val="18"/>
          <w:szCs w:val="18"/>
        </w:rPr>
        <w:t>p</w:t>
      </w:r>
      <w:r w:rsidRPr="00DA2736">
        <w:rPr>
          <w:rFonts w:ascii="Times New Roman" w:eastAsia="Times New Roman" w:hAnsi="Times New Roman" w:cs="Times New Roman"/>
          <w:color w:val="000000"/>
          <w:sz w:val="18"/>
          <w:szCs w:val="18"/>
        </w:rPr>
        <w:t>&lt;0.01</w:t>
      </w:r>
    </w:p>
    <w:p w14:paraId="2130EDC1" w14:textId="6DBCF315" w:rsidR="00176539" w:rsidRPr="00DA2736" w:rsidRDefault="00176539" w:rsidP="00176539">
      <w:pPr>
        <w:spacing w:before="79" w:after="79" w:line="240" w:lineRule="auto"/>
        <w:rPr>
          <w:rFonts w:eastAsia="Times New Roman" w:cstheme="minorHAnsi"/>
        </w:rPr>
      </w:pPr>
    </w:p>
    <w:p w14:paraId="6014B3C6" w14:textId="7967C4B4" w:rsidR="00DA2736" w:rsidRDefault="00176539" w:rsidP="00605AA8">
      <w:r>
        <w:t xml:space="preserve">At a 95% confidence interval, </w:t>
      </w:r>
      <w:r w:rsidR="00812DC4">
        <w:t xml:space="preserve">the variable “incarceration_number”, representing state-level </w:t>
      </w:r>
      <w:r w:rsidR="00987104">
        <w:t>jail population of noncitizens,</w:t>
      </w:r>
      <w:r w:rsidR="00812DC4">
        <w:t xml:space="preserve"> is significant</w:t>
      </w:r>
      <w:r w:rsidR="001B5290">
        <w:t xml:space="preserve">. </w:t>
      </w:r>
      <w:r w:rsidR="009A6A67">
        <w:t>Variables “percent_hispanic”</w:t>
      </w:r>
      <w:r w:rsidR="00363855">
        <w:t xml:space="preserve"> and “per_gop” are significant at </w:t>
      </w:r>
      <w:r w:rsidR="00812236">
        <w:t xml:space="preserve">a 99% confidence interval. This analysis suggests that a state’s </w:t>
      </w:r>
      <w:r w:rsidR="00990DA5">
        <w:t xml:space="preserve">number of incarcerated noncitizens, the Hispanic composition of a county, and the </w:t>
      </w:r>
      <w:r w:rsidR="00A73314">
        <w:t xml:space="preserve">political stance of a county are </w:t>
      </w:r>
      <w:r w:rsidR="00E9086D">
        <w:t xml:space="preserve">all correlated with the number of deportations resulting from arrests in those </w:t>
      </w:r>
      <w:r w:rsidR="00361BC2">
        <w:t xml:space="preserve">1482 </w:t>
      </w:r>
      <w:r w:rsidR="00E9086D">
        <w:t xml:space="preserve">counties. </w:t>
      </w:r>
    </w:p>
    <w:p w14:paraId="70CB2FFF" w14:textId="3E4CFBAC" w:rsidR="00D419FB" w:rsidRPr="00176539" w:rsidRDefault="00D419FB" w:rsidP="00605AA8">
      <w:r>
        <w:lastRenderedPageBreak/>
        <w:t xml:space="preserve">One surprising finding from this regression model is that the </w:t>
      </w:r>
      <w:r w:rsidR="000875F8">
        <w:t xml:space="preserve">coefficient for per_gop is negative. </w:t>
      </w:r>
      <w:r w:rsidR="00D73549">
        <w:t>This would either</w:t>
      </w:r>
      <w:r w:rsidR="00674703">
        <w:t xml:space="preserve"> mean that </w:t>
      </w:r>
      <w:r w:rsidR="00633796">
        <w:t xml:space="preserve">more conservative counties are less likely to be associated with higher levels of SC arrests and deportations, or my </w:t>
      </w:r>
      <w:r w:rsidR="00530CFE">
        <w:t>choice to represent political attitude by 2016 voting data was not very accurate.</w:t>
      </w:r>
    </w:p>
    <w:p w14:paraId="795F81F8" w14:textId="77777777" w:rsidR="00A937F0" w:rsidRPr="007C142C" w:rsidRDefault="00A937F0" w:rsidP="00A937F0">
      <w:pPr>
        <w:pStyle w:val="Heading1"/>
      </w:pPr>
      <w:r w:rsidRPr="007C142C">
        <w:t>Data Validation</w:t>
      </w:r>
    </w:p>
    <w:p w14:paraId="600A0C77" w14:textId="77777777" w:rsidR="00A937F0" w:rsidRDefault="00A937F0" w:rsidP="00A937F0">
      <w:r>
        <w:t>Validating the data used in this research is fairly difficult for two main reasons. Firstly, the main Secure Communities dataset upon which all my analysis is based was published by ICE through a FOIA request from the Immigrant Legal Resource Center in 2017</w:t>
      </w:r>
      <w:r>
        <w:rPr>
          <w:rStyle w:val="FootnoteReference"/>
        </w:rPr>
        <w:footnoteReference w:id="10"/>
      </w:r>
      <w:r>
        <w:t>. Meaning that this data was not publicly available before the request. So finding similar data to compare the ICE dataset to is not a possibility. Secondly, many of the U.S. federal agencies from which I draw data (Bureau of Justice Statistics, U.S. Census, etc.) are the main authorities on data collection for the respective measures I use. For example, although Pew Hispanic Center publishes a lot of data on Hispanic population through tables, maps and other visuals, most of the information they gather through Census and American Community Survey data.</w:t>
      </w:r>
    </w:p>
    <w:p w14:paraId="7C8D175B" w14:textId="77777777" w:rsidR="00A937F0" w:rsidRDefault="00A937F0" w:rsidP="00A937F0">
      <w:r>
        <w:t>After some search, I have found the TRAC Immigration website</w:t>
      </w:r>
      <w:r>
        <w:rPr>
          <w:rStyle w:val="FootnoteReference"/>
        </w:rPr>
        <w:footnoteReference w:id="11"/>
      </w:r>
      <w:r>
        <w:t xml:space="preserve"> to be a rich source of data on immigration in the U.S. They report their own data on Secure Communities arrests, although it is not available to download as datasets. However, I wanted to use this resource to at least spot-validate the dataset published by ICE if I could. </w:t>
      </w:r>
    </w:p>
    <w:p w14:paraId="4BC5EE00" w14:textId="79E39C06" w:rsidR="00A937F0" w:rsidRDefault="00A937F0" w:rsidP="00A937F0">
      <w:r>
        <w:t xml:space="preserve">Firstly, I looked to see if the overall number of deportations was similar for years in which I have a full year’s worth of data for, namely fiscal years 2015 and 2016. TRAC Immigration’s </w:t>
      </w:r>
      <w:r w:rsidRPr="00793F04">
        <w:t>Removals under the Secure Communities Program</w:t>
      </w:r>
      <w:r>
        <w:t xml:space="preserve"> interactive data tool allows you to filter deportations by </w:t>
      </w:r>
      <w:r w:rsidR="00657AE3">
        <w:t>several</w:t>
      </w:r>
      <w:r>
        <w:t xml:space="preserve"> variables. Their total arrests for 2015 and 2016 versus the figures for my Secure Communities set are given below:</w:t>
      </w:r>
    </w:p>
    <w:tbl>
      <w:tblPr>
        <w:tblStyle w:val="ListTable3-Accent5"/>
        <w:tblW w:w="0" w:type="auto"/>
        <w:tblLook w:val="04A0" w:firstRow="1" w:lastRow="0" w:firstColumn="1" w:lastColumn="0" w:noHBand="0" w:noVBand="1"/>
      </w:tblPr>
      <w:tblGrid>
        <w:gridCol w:w="3212"/>
        <w:gridCol w:w="3213"/>
        <w:gridCol w:w="3213"/>
      </w:tblGrid>
      <w:tr w:rsidR="00A937F0" w14:paraId="406800B9" w14:textId="77777777" w:rsidTr="002C78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14:paraId="03485E3B" w14:textId="77777777" w:rsidR="00A937F0" w:rsidRDefault="00A937F0" w:rsidP="002C7847">
            <w:r>
              <w:t>Source</w:t>
            </w:r>
          </w:p>
        </w:tc>
        <w:tc>
          <w:tcPr>
            <w:tcW w:w="3213" w:type="dxa"/>
          </w:tcPr>
          <w:p w14:paraId="0A53A3F3" w14:textId="77777777" w:rsidR="00A937F0" w:rsidRDefault="00A937F0" w:rsidP="002C7847">
            <w:pPr>
              <w:cnfStyle w:val="100000000000" w:firstRow="1" w:lastRow="0" w:firstColumn="0" w:lastColumn="0" w:oddVBand="0" w:evenVBand="0" w:oddHBand="0" w:evenHBand="0" w:firstRowFirstColumn="0" w:firstRowLastColumn="0" w:lastRowFirstColumn="0" w:lastRowLastColumn="0"/>
            </w:pPr>
            <w:r>
              <w:t>TRAC Immigration</w:t>
            </w:r>
          </w:p>
        </w:tc>
        <w:tc>
          <w:tcPr>
            <w:tcW w:w="3213" w:type="dxa"/>
          </w:tcPr>
          <w:p w14:paraId="45C562B1" w14:textId="77777777" w:rsidR="00A937F0" w:rsidRDefault="00A937F0" w:rsidP="002C7847">
            <w:pPr>
              <w:cnfStyle w:val="100000000000" w:firstRow="1" w:lastRow="0" w:firstColumn="0" w:lastColumn="0" w:oddVBand="0" w:evenVBand="0" w:oddHBand="0" w:evenHBand="0" w:firstRowFirstColumn="0" w:firstRowLastColumn="0" w:lastRowFirstColumn="0" w:lastRowLastColumn="0"/>
            </w:pPr>
            <w:r>
              <w:t>ICE Dataset</w:t>
            </w:r>
          </w:p>
        </w:tc>
      </w:tr>
      <w:tr w:rsidR="00A937F0" w14:paraId="3698316F" w14:textId="77777777" w:rsidTr="002C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F0A15B" w14:textId="77777777" w:rsidR="00A937F0" w:rsidRDefault="00A937F0" w:rsidP="002C7847">
            <w:r>
              <w:t>2015 Deportations</w:t>
            </w:r>
          </w:p>
        </w:tc>
        <w:tc>
          <w:tcPr>
            <w:tcW w:w="3213" w:type="dxa"/>
          </w:tcPr>
          <w:p w14:paraId="5A6B0C54" w14:textId="77777777" w:rsidR="00A937F0" w:rsidRDefault="00A937F0" w:rsidP="002C7847">
            <w:pPr>
              <w:cnfStyle w:val="000000100000" w:firstRow="0" w:lastRow="0" w:firstColumn="0" w:lastColumn="0" w:oddVBand="0" w:evenVBand="0" w:oddHBand="1" w:evenHBand="0" w:firstRowFirstColumn="0" w:firstRowLastColumn="0" w:lastRowFirstColumn="0" w:lastRowLastColumn="0"/>
            </w:pPr>
            <w:r>
              <w:t>60,105</w:t>
            </w:r>
          </w:p>
        </w:tc>
        <w:tc>
          <w:tcPr>
            <w:tcW w:w="3213" w:type="dxa"/>
          </w:tcPr>
          <w:p w14:paraId="57C4DE7C" w14:textId="77777777" w:rsidR="00A937F0" w:rsidRDefault="00A937F0" w:rsidP="002C7847">
            <w:pPr>
              <w:cnfStyle w:val="000000100000" w:firstRow="0" w:lastRow="0" w:firstColumn="0" w:lastColumn="0" w:oddVBand="0" w:evenVBand="0" w:oddHBand="1" w:evenHBand="0" w:firstRowFirstColumn="0" w:firstRowLastColumn="0" w:lastRowFirstColumn="0" w:lastRowLastColumn="0"/>
            </w:pPr>
            <w:r>
              <w:t>59,242</w:t>
            </w:r>
          </w:p>
        </w:tc>
      </w:tr>
      <w:tr w:rsidR="00A937F0" w14:paraId="1625389D" w14:textId="77777777" w:rsidTr="002C7847">
        <w:tc>
          <w:tcPr>
            <w:cnfStyle w:val="001000000000" w:firstRow="0" w:lastRow="0" w:firstColumn="1" w:lastColumn="0" w:oddVBand="0" w:evenVBand="0" w:oddHBand="0" w:evenHBand="0" w:firstRowFirstColumn="0" w:firstRowLastColumn="0" w:lastRowFirstColumn="0" w:lastRowLastColumn="0"/>
            <w:tcW w:w="3212" w:type="dxa"/>
          </w:tcPr>
          <w:p w14:paraId="07AD48DE" w14:textId="77777777" w:rsidR="00A937F0" w:rsidRDefault="00A937F0" w:rsidP="002C7847">
            <w:r>
              <w:t>2016 Deportations</w:t>
            </w:r>
          </w:p>
        </w:tc>
        <w:tc>
          <w:tcPr>
            <w:tcW w:w="3213" w:type="dxa"/>
          </w:tcPr>
          <w:p w14:paraId="1DD12273" w14:textId="77777777" w:rsidR="00A937F0" w:rsidRDefault="00A937F0" w:rsidP="002C7847">
            <w:pPr>
              <w:cnfStyle w:val="000000000000" w:firstRow="0" w:lastRow="0" w:firstColumn="0" w:lastColumn="0" w:oddVBand="0" w:evenVBand="0" w:oddHBand="0" w:evenHBand="0" w:firstRowFirstColumn="0" w:firstRowLastColumn="0" w:lastRowFirstColumn="0" w:lastRowLastColumn="0"/>
            </w:pPr>
            <w:r>
              <w:t>57,242</w:t>
            </w:r>
          </w:p>
        </w:tc>
        <w:tc>
          <w:tcPr>
            <w:tcW w:w="3213" w:type="dxa"/>
          </w:tcPr>
          <w:p w14:paraId="7B235949" w14:textId="77777777" w:rsidR="00A937F0" w:rsidRDefault="00A937F0" w:rsidP="002C7847">
            <w:pPr>
              <w:cnfStyle w:val="000000000000" w:firstRow="0" w:lastRow="0" w:firstColumn="0" w:lastColumn="0" w:oddVBand="0" w:evenVBand="0" w:oddHBand="0" w:evenHBand="0" w:firstRowFirstColumn="0" w:firstRowLastColumn="0" w:lastRowFirstColumn="0" w:lastRowLastColumn="0"/>
            </w:pPr>
            <w:r>
              <w:t>58,572</w:t>
            </w:r>
          </w:p>
        </w:tc>
      </w:tr>
    </w:tbl>
    <w:p w14:paraId="2CF99283" w14:textId="77777777" w:rsidR="00A937F0" w:rsidRDefault="00A937F0" w:rsidP="00A937F0"/>
    <w:p w14:paraId="7D767D42" w14:textId="77777777" w:rsidR="00A937F0" w:rsidRDefault="00A937F0" w:rsidP="00A937F0">
      <w:r>
        <w:t xml:space="preserve">In both years, the arrest numbers between datasets are within about 1,000 of one another. </w:t>
      </w:r>
    </w:p>
    <w:p w14:paraId="45B04CBB" w14:textId="77777777" w:rsidR="00A937F0" w:rsidRDefault="00A937F0" w:rsidP="00A937F0">
      <w:r>
        <w:t xml:space="preserve">To partially validate my data for “Most Serious Criminal Conviction” used in Question 5, I sorted the TRAC Immigration data by years 2015 and 2016, and then added up the total deportations where the most serious criminal conviction was Illegal Entry or Re-Entry. I subtracted this number from the total number of deportations that year to get the “Other Convictions” for that year. To find these numbers in the ICE dataset, I performed a groupby for each year and category (“migration-related” and “other) and included those figures below. </w:t>
      </w:r>
    </w:p>
    <w:tbl>
      <w:tblPr>
        <w:tblStyle w:val="ListTable3-Accent5"/>
        <w:tblW w:w="0" w:type="auto"/>
        <w:tblLook w:val="04A0" w:firstRow="1" w:lastRow="0" w:firstColumn="1" w:lastColumn="0" w:noHBand="0" w:noVBand="1"/>
      </w:tblPr>
      <w:tblGrid>
        <w:gridCol w:w="3212"/>
        <w:gridCol w:w="3213"/>
        <w:gridCol w:w="3213"/>
      </w:tblGrid>
      <w:tr w:rsidR="00A937F0" w14:paraId="5C98173D" w14:textId="77777777" w:rsidTr="002C78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14:paraId="177C703D" w14:textId="77777777" w:rsidR="00A937F0" w:rsidRDefault="00A937F0" w:rsidP="002C7847">
            <w:r>
              <w:t>Source</w:t>
            </w:r>
          </w:p>
        </w:tc>
        <w:tc>
          <w:tcPr>
            <w:tcW w:w="3213" w:type="dxa"/>
          </w:tcPr>
          <w:p w14:paraId="1BEA8085" w14:textId="77777777" w:rsidR="00A937F0" w:rsidRDefault="00A937F0" w:rsidP="002C7847">
            <w:pPr>
              <w:cnfStyle w:val="100000000000" w:firstRow="1" w:lastRow="0" w:firstColumn="0" w:lastColumn="0" w:oddVBand="0" w:evenVBand="0" w:oddHBand="0" w:evenHBand="0" w:firstRowFirstColumn="0" w:firstRowLastColumn="0" w:lastRowFirstColumn="0" w:lastRowLastColumn="0"/>
            </w:pPr>
            <w:r>
              <w:t>TRAC Immigration</w:t>
            </w:r>
          </w:p>
        </w:tc>
        <w:tc>
          <w:tcPr>
            <w:tcW w:w="3213" w:type="dxa"/>
          </w:tcPr>
          <w:p w14:paraId="0E51362D" w14:textId="77777777" w:rsidR="00A937F0" w:rsidRDefault="00A937F0" w:rsidP="002C7847">
            <w:pPr>
              <w:cnfStyle w:val="100000000000" w:firstRow="1" w:lastRow="0" w:firstColumn="0" w:lastColumn="0" w:oddVBand="0" w:evenVBand="0" w:oddHBand="0" w:evenHBand="0" w:firstRowFirstColumn="0" w:firstRowLastColumn="0" w:lastRowFirstColumn="0" w:lastRowLastColumn="0"/>
            </w:pPr>
            <w:r>
              <w:t>ICE Dataset</w:t>
            </w:r>
          </w:p>
        </w:tc>
      </w:tr>
      <w:tr w:rsidR="00A937F0" w14:paraId="22EA687E" w14:textId="77777777" w:rsidTr="002C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1C07685" w14:textId="77777777" w:rsidR="00A937F0" w:rsidRDefault="00A937F0" w:rsidP="002C7847">
            <w:r>
              <w:t>2015 Migration-Related</w:t>
            </w:r>
          </w:p>
        </w:tc>
        <w:tc>
          <w:tcPr>
            <w:tcW w:w="3213" w:type="dxa"/>
          </w:tcPr>
          <w:p w14:paraId="5F8FB3B7" w14:textId="77777777" w:rsidR="00A937F0" w:rsidRDefault="00A937F0" w:rsidP="002C7847">
            <w:pPr>
              <w:cnfStyle w:val="000000100000" w:firstRow="0" w:lastRow="0" w:firstColumn="0" w:lastColumn="0" w:oddVBand="0" w:evenVBand="0" w:oddHBand="1" w:evenHBand="0" w:firstRowFirstColumn="0" w:firstRowLastColumn="0" w:lastRowFirstColumn="0" w:lastRowLastColumn="0"/>
            </w:pPr>
            <w:r>
              <w:t>7,833</w:t>
            </w:r>
          </w:p>
        </w:tc>
        <w:tc>
          <w:tcPr>
            <w:tcW w:w="3213" w:type="dxa"/>
          </w:tcPr>
          <w:p w14:paraId="26EE66CC" w14:textId="77777777" w:rsidR="00A937F0" w:rsidRDefault="00A937F0" w:rsidP="002C7847">
            <w:pPr>
              <w:cnfStyle w:val="000000100000" w:firstRow="0" w:lastRow="0" w:firstColumn="0" w:lastColumn="0" w:oddVBand="0" w:evenVBand="0" w:oddHBand="1" w:evenHBand="0" w:firstRowFirstColumn="0" w:firstRowLastColumn="0" w:lastRowFirstColumn="0" w:lastRowLastColumn="0"/>
            </w:pPr>
            <w:r>
              <w:t>7,778</w:t>
            </w:r>
          </w:p>
        </w:tc>
      </w:tr>
      <w:tr w:rsidR="00A937F0" w14:paraId="704E9E1B" w14:textId="77777777" w:rsidTr="002C7847">
        <w:tc>
          <w:tcPr>
            <w:cnfStyle w:val="001000000000" w:firstRow="0" w:lastRow="0" w:firstColumn="1" w:lastColumn="0" w:oddVBand="0" w:evenVBand="0" w:oddHBand="0" w:evenHBand="0" w:firstRowFirstColumn="0" w:firstRowLastColumn="0" w:lastRowFirstColumn="0" w:lastRowLastColumn="0"/>
            <w:tcW w:w="3212" w:type="dxa"/>
          </w:tcPr>
          <w:p w14:paraId="15B76F16" w14:textId="77777777" w:rsidR="00A937F0" w:rsidRDefault="00A937F0" w:rsidP="002C7847">
            <w:r>
              <w:t>2015 Other Convictions</w:t>
            </w:r>
          </w:p>
        </w:tc>
        <w:tc>
          <w:tcPr>
            <w:tcW w:w="3213" w:type="dxa"/>
          </w:tcPr>
          <w:p w14:paraId="392D5325" w14:textId="77777777" w:rsidR="00A937F0" w:rsidRDefault="00A937F0" w:rsidP="002C7847">
            <w:pPr>
              <w:cnfStyle w:val="000000000000" w:firstRow="0" w:lastRow="0" w:firstColumn="0" w:lastColumn="0" w:oddVBand="0" w:evenVBand="0" w:oddHBand="0" w:evenHBand="0" w:firstRowFirstColumn="0" w:firstRowLastColumn="0" w:lastRowFirstColumn="0" w:lastRowLastColumn="0"/>
            </w:pPr>
            <w:r>
              <w:t>52,272</w:t>
            </w:r>
          </w:p>
        </w:tc>
        <w:tc>
          <w:tcPr>
            <w:tcW w:w="3213" w:type="dxa"/>
          </w:tcPr>
          <w:p w14:paraId="1ADB761B" w14:textId="77777777" w:rsidR="00A937F0" w:rsidRDefault="00A937F0" w:rsidP="002C7847">
            <w:pPr>
              <w:cnfStyle w:val="000000000000" w:firstRow="0" w:lastRow="0" w:firstColumn="0" w:lastColumn="0" w:oddVBand="0" w:evenVBand="0" w:oddHBand="0" w:evenHBand="0" w:firstRowFirstColumn="0" w:firstRowLastColumn="0" w:lastRowFirstColumn="0" w:lastRowLastColumn="0"/>
            </w:pPr>
            <w:r>
              <w:t>51,464</w:t>
            </w:r>
          </w:p>
        </w:tc>
      </w:tr>
      <w:tr w:rsidR="00A937F0" w14:paraId="4E9AC13F" w14:textId="77777777" w:rsidTr="002C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31469C6" w14:textId="77777777" w:rsidR="00A937F0" w:rsidRDefault="00A937F0" w:rsidP="002C7847">
            <w:r>
              <w:t>2016 Migration-Related</w:t>
            </w:r>
          </w:p>
        </w:tc>
        <w:tc>
          <w:tcPr>
            <w:tcW w:w="3213" w:type="dxa"/>
          </w:tcPr>
          <w:p w14:paraId="112A7D11" w14:textId="77777777" w:rsidR="00A937F0" w:rsidRDefault="00A937F0" w:rsidP="002C7847">
            <w:pPr>
              <w:cnfStyle w:val="000000100000" w:firstRow="0" w:lastRow="0" w:firstColumn="0" w:lastColumn="0" w:oddVBand="0" w:evenVBand="0" w:oddHBand="1" w:evenHBand="0" w:firstRowFirstColumn="0" w:firstRowLastColumn="0" w:lastRowFirstColumn="0" w:lastRowLastColumn="0"/>
            </w:pPr>
            <w:r>
              <w:t>7,119</w:t>
            </w:r>
          </w:p>
        </w:tc>
        <w:tc>
          <w:tcPr>
            <w:tcW w:w="3213" w:type="dxa"/>
          </w:tcPr>
          <w:p w14:paraId="260CA821" w14:textId="77777777" w:rsidR="00A937F0" w:rsidRDefault="00A937F0" w:rsidP="002C7847">
            <w:pPr>
              <w:cnfStyle w:val="000000100000" w:firstRow="0" w:lastRow="0" w:firstColumn="0" w:lastColumn="0" w:oddVBand="0" w:evenVBand="0" w:oddHBand="1" w:evenHBand="0" w:firstRowFirstColumn="0" w:firstRowLastColumn="0" w:lastRowFirstColumn="0" w:lastRowLastColumn="0"/>
            </w:pPr>
            <w:r>
              <w:t>7,326</w:t>
            </w:r>
          </w:p>
        </w:tc>
      </w:tr>
      <w:tr w:rsidR="00A937F0" w14:paraId="70A4E743" w14:textId="77777777" w:rsidTr="002C7847">
        <w:tc>
          <w:tcPr>
            <w:cnfStyle w:val="001000000000" w:firstRow="0" w:lastRow="0" w:firstColumn="1" w:lastColumn="0" w:oddVBand="0" w:evenVBand="0" w:oddHBand="0" w:evenHBand="0" w:firstRowFirstColumn="0" w:firstRowLastColumn="0" w:lastRowFirstColumn="0" w:lastRowLastColumn="0"/>
            <w:tcW w:w="3212" w:type="dxa"/>
          </w:tcPr>
          <w:p w14:paraId="21F45DC3" w14:textId="77777777" w:rsidR="00A937F0" w:rsidRDefault="00A937F0" w:rsidP="002C7847">
            <w:r>
              <w:t>2016 Other Convictions</w:t>
            </w:r>
          </w:p>
        </w:tc>
        <w:tc>
          <w:tcPr>
            <w:tcW w:w="3213" w:type="dxa"/>
          </w:tcPr>
          <w:p w14:paraId="36BDCD72" w14:textId="77777777" w:rsidR="00A937F0" w:rsidRDefault="00A937F0" w:rsidP="002C7847">
            <w:pPr>
              <w:cnfStyle w:val="000000000000" w:firstRow="0" w:lastRow="0" w:firstColumn="0" w:lastColumn="0" w:oddVBand="0" w:evenVBand="0" w:oddHBand="0" w:evenHBand="0" w:firstRowFirstColumn="0" w:firstRowLastColumn="0" w:lastRowFirstColumn="0" w:lastRowLastColumn="0"/>
            </w:pPr>
            <w:r>
              <w:t>50,123</w:t>
            </w:r>
          </w:p>
        </w:tc>
        <w:tc>
          <w:tcPr>
            <w:tcW w:w="3213" w:type="dxa"/>
          </w:tcPr>
          <w:p w14:paraId="2A7F4C75" w14:textId="77777777" w:rsidR="00A937F0" w:rsidRDefault="00A937F0" w:rsidP="002C7847">
            <w:pPr>
              <w:cnfStyle w:val="000000000000" w:firstRow="0" w:lastRow="0" w:firstColumn="0" w:lastColumn="0" w:oddVBand="0" w:evenVBand="0" w:oddHBand="0" w:evenHBand="0" w:firstRowFirstColumn="0" w:firstRowLastColumn="0" w:lastRowFirstColumn="0" w:lastRowLastColumn="0"/>
            </w:pPr>
            <w:r>
              <w:t>51,246</w:t>
            </w:r>
          </w:p>
        </w:tc>
      </w:tr>
    </w:tbl>
    <w:p w14:paraId="0148EF7A" w14:textId="77777777" w:rsidR="00A937F0" w:rsidRDefault="00A937F0" w:rsidP="00A937F0"/>
    <w:p w14:paraId="6617D1CB" w14:textId="7373F3CF" w:rsidR="00A937F0" w:rsidRDefault="00CD74B9" w:rsidP="00A937F0">
      <w:r>
        <w:lastRenderedPageBreak/>
        <w:t>All</w:t>
      </w:r>
      <w:r w:rsidR="00A937F0">
        <w:t xml:space="preserve"> these figures are within 1,000 deportations of the other dataset.</w:t>
      </w:r>
    </w:p>
    <w:p w14:paraId="5F4BC8B4" w14:textId="2D86B7CE" w:rsidR="00A937F0" w:rsidRDefault="00A937F0" w:rsidP="00A937F0">
      <w:r>
        <w:t>Finally, I used two other TRAC resources to validate my data; these can be found in appendices 2 and 3. Appendix 2 lists the top Most Serious Criminal Convictions recorded. Because the ICE dataset only contains complete data for 2015 and 2016, I did not think it would be useful to compare the numbers exactly. I did want to compare general trends in the TRAC conviction data versus what I found in Question 2. My analysis generally found that migration-related deportations are not the most common compared to other convictions; this is true for the TRAC data as well (Illegal Entry is the 5</w:t>
      </w:r>
      <w:r w:rsidRPr="00AC082D">
        <w:rPr>
          <w:vertAlign w:val="superscript"/>
        </w:rPr>
        <w:t>th</w:t>
      </w:r>
      <w:r>
        <w:t xml:space="preserve"> most common conviction). Appendix 3 is a bar graph showing the countries whose proportion of asylum petitions to the U.S. increased the most in recent years. I used this graph to validate my findings in Question 2, that Mexico and the Northern Triangle represented the highest sending countries of deportees through Secure Communities.</w:t>
      </w:r>
    </w:p>
    <w:p w14:paraId="3F20FC66" w14:textId="1146AC47" w:rsidR="0007243F" w:rsidRDefault="0007243F" w:rsidP="009B4A30">
      <w:pPr>
        <w:pStyle w:val="Heading1"/>
      </w:pPr>
      <w:r w:rsidRPr="0068795D">
        <w:t>Limitations</w:t>
      </w:r>
    </w:p>
    <w:p w14:paraId="050FB602" w14:textId="7ED77170" w:rsidR="00BB688F" w:rsidRDefault="001F31DD" w:rsidP="001F31DD">
      <w:r>
        <w:t xml:space="preserve">One main limitation of my analysis is that I rely heavily on the use of government-reported data, especially from ICE. </w:t>
      </w:r>
      <w:r w:rsidR="00596DE0">
        <w:t xml:space="preserve">While I believe the Secure Communities dataset to be a robust source of information about the program, </w:t>
      </w:r>
      <w:r w:rsidR="009F2782">
        <w:t xml:space="preserve">there </w:t>
      </w:r>
      <w:r w:rsidR="00376E7E">
        <w:t xml:space="preserve">is always the risk that the year-to-year data is not complete </w:t>
      </w:r>
      <w:r w:rsidR="00E7199C">
        <w:t>or collected in a way that I would not expect. Especially with the extent of “bad press” that ICE frequentl</w:t>
      </w:r>
      <w:r w:rsidR="00472C32">
        <w:t>y receives regarding its policies, it may not be in their best interest to provide extensive data that may potentially be used against the agency.</w:t>
      </w:r>
    </w:p>
    <w:p w14:paraId="2A27DB70" w14:textId="24611897" w:rsidR="007D4BDA" w:rsidRDefault="007D4BDA" w:rsidP="001F31DD">
      <w:r>
        <w:t>Regarding the validity of my data, another limitation is that I draw from several different sources</w:t>
      </w:r>
      <w:r w:rsidR="00FD74EB">
        <w:t xml:space="preserve"> (ICE, BJS, Census, independent researchers) that may collect data in different ways. </w:t>
      </w:r>
    </w:p>
    <w:p w14:paraId="3BF925F5" w14:textId="79F7831F" w:rsidR="00FB2D8D" w:rsidRDefault="00FB2D8D" w:rsidP="001F31DD">
      <w:r>
        <w:t xml:space="preserve">Limitations in my </w:t>
      </w:r>
      <w:r w:rsidR="0096474F">
        <w:t>research</w:t>
      </w:r>
      <w:r>
        <w:t xml:space="preserve"> </w:t>
      </w:r>
      <w:r w:rsidR="00537637">
        <w:t xml:space="preserve">design reflect my novice-level understanding of </w:t>
      </w:r>
      <w:r w:rsidR="0096474F">
        <w:t xml:space="preserve">analytical methods. </w:t>
      </w:r>
      <w:r w:rsidR="004D530D">
        <w:t>In Question 3, the number of interior states</w:t>
      </w:r>
      <w:r w:rsidR="00CA64A5">
        <w:t xml:space="preserve"> (35)</w:t>
      </w:r>
      <w:r w:rsidR="004D530D">
        <w:t xml:space="preserve"> far outweighs the number of border states</w:t>
      </w:r>
      <w:r w:rsidR="000701C9">
        <w:t xml:space="preserve"> (15)</w:t>
      </w:r>
      <w:r w:rsidR="004D530D">
        <w:t xml:space="preserve"> that I compared. </w:t>
      </w:r>
      <w:r w:rsidR="00CA64A5">
        <w:t xml:space="preserve">There may have been a more meaningful way for me to compare </w:t>
      </w:r>
      <w:r w:rsidR="00310539">
        <w:t xml:space="preserve">arrests and deportations between the two groups. My regression analysis in Question 5 also presented some problems that may have affected the strength of my results. </w:t>
      </w:r>
      <w:r w:rsidR="000738B6">
        <w:t>One was my sample size; t</w:t>
      </w:r>
      <w:r w:rsidR="00627188">
        <w:t xml:space="preserve">here are </w:t>
      </w:r>
      <w:r w:rsidR="004860F2">
        <w:t>3,142 counties in the U.S.</w:t>
      </w:r>
      <w:r w:rsidR="00085785">
        <w:t xml:space="preserve">, but only 2196 were represented in the Secure Communities dataset after I merged on State/County. </w:t>
      </w:r>
      <w:r w:rsidR="00F0276A">
        <w:t xml:space="preserve">This means that either 946 U.S. counties did not arrest anyone through Secure Communities who was deported between 2015 and 2017, or </w:t>
      </w:r>
      <w:r w:rsidR="00DF6D36">
        <w:t>my attempt to prevent county-level arrests from merging on county name alone (</w:t>
      </w:r>
      <w:r w:rsidR="00D3501D">
        <w:t xml:space="preserve">e.g. </w:t>
      </w:r>
      <w:r w:rsidR="00B21B0E">
        <w:t xml:space="preserve">arrests from all eight counties named “Orange” in the U.S. merging together) was unsuccessful. </w:t>
      </w:r>
      <w:r w:rsidR="00032627">
        <w:t>This number dropped to 1,481</w:t>
      </w:r>
      <w:r w:rsidR="001143ED">
        <w:t xml:space="preserve"> counties</w:t>
      </w:r>
      <w:r w:rsidR="00032627">
        <w:t xml:space="preserve"> after merging all my variables together</w:t>
      </w:r>
      <w:r w:rsidR="001143ED">
        <w:t>, so my findings may not be generalizable to the entire U.S.</w:t>
      </w:r>
    </w:p>
    <w:p w14:paraId="276E25FD" w14:textId="1782D4F4" w:rsidR="001143ED" w:rsidRDefault="001143ED" w:rsidP="001F31DD">
      <w:r>
        <w:t xml:space="preserve">My choice of using 2016 </w:t>
      </w:r>
      <w:r w:rsidR="00C61071">
        <w:t xml:space="preserve">county-level voting data as a measure of </w:t>
      </w:r>
      <w:r w:rsidR="00DC2F13">
        <w:t xml:space="preserve">county-wide political stance was made after </w:t>
      </w:r>
      <w:r w:rsidR="000D597E">
        <w:t>a fruitless search of finding other research-based methods for measuring where on the political spectrum v</w:t>
      </w:r>
      <w:r w:rsidR="0068795D">
        <w:t xml:space="preserve">oters in a county stand year to year.  The measure I chose was recommended to me by a colleague, </w:t>
      </w:r>
      <w:r w:rsidR="007C334D">
        <w:t xml:space="preserve">and the data is organized well, both </w:t>
      </w:r>
      <w:r w:rsidR="002D6DF2">
        <w:t xml:space="preserve">in the datasets themselves and in the researcher’s GitHub repository. </w:t>
      </w:r>
      <w:r w:rsidR="00577A48">
        <w:t xml:space="preserve">The original data was scraped using beautifulsoup from Townhall.com’s reporting of </w:t>
      </w:r>
      <w:r w:rsidR="0050662D">
        <w:t>the 2016 presidential election, so the burden of accuracy lies with that organization</w:t>
      </w:r>
      <w:r w:rsidR="00A457F4">
        <w:rPr>
          <w:rStyle w:val="FootnoteReference"/>
        </w:rPr>
        <w:footnoteReference w:id="12"/>
      </w:r>
      <w:r w:rsidR="00A457F4">
        <w:t xml:space="preserve">. However, my unexpected finding that </w:t>
      </w:r>
      <w:r w:rsidR="00311AC3">
        <w:t xml:space="preserve">per_gop (the percentage of each county’s voters that picked Trump in the 2016 election) was significantly negatively correlated with </w:t>
      </w:r>
      <w:r w:rsidR="002A0C06">
        <w:t xml:space="preserve">county-level arrests and deportations leads me to believe that it </w:t>
      </w:r>
      <w:r w:rsidR="002A0C06">
        <w:lastRenderedPageBreak/>
        <w:t xml:space="preserve">may not have been the best proxy for </w:t>
      </w:r>
      <w:r w:rsidR="00A25C74">
        <w:t xml:space="preserve">what extent President Trump’s anti-immigrant rhetoric resonated with a county’s voters. </w:t>
      </w:r>
    </w:p>
    <w:p w14:paraId="36174F40" w14:textId="77551A7A" w:rsidR="0007243F" w:rsidRDefault="0007243F" w:rsidP="009B4A30">
      <w:pPr>
        <w:pStyle w:val="Heading1"/>
      </w:pPr>
      <w:r w:rsidRPr="007E4E0F">
        <w:t>Conclusion</w:t>
      </w:r>
    </w:p>
    <w:p w14:paraId="1E67C075" w14:textId="0F1B0AD2" w:rsidR="006627A6" w:rsidRDefault="00B005DD" w:rsidP="007C0F70">
      <w:r>
        <w:t>My research only begins to scratch the surface of how the Secure Communities program, and changes in the program, interact with</w:t>
      </w:r>
      <w:r w:rsidR="00165730">
        <w:t xml:space="preserve"> demographic trends in different parts of the country.</w:t>
      </w:r>
      <w:r w:rsidR="006627A6">
        <w:t xml:space="preserve"> My findings </w:t>
      </w:r>
      <w:r w:rsidR="00F32041">
        <w:t xml:space="preserve">arrive at several conclusions. </w:t>
      </w:r>
      <w:r w:rsidR="00841DA9">
        <w:t xml:space="preserve">Firstly, </w:t>
      </w:r>
      <w:r w:rsidR="008A0342">
        <w:t xml:space="preserve">Mexico and the countries of the Northern Triangle of El Salvador, Honduras and Guatemala </w:t>
      </w:r>
      <w:r w:rsidR="00C41E80">
        <w:t xml:space="preserve">compose </w:t>
      </w:r>
      <w:r w:rsidR="00CD74B9">
        <w:t>most</w:t>
      </w:r>
      <w:r w:rsidR="00C41E80">
        <w:t xml:space="preserve"> </w:t>
      </w:r>
      <w:bookmarkStart w:id="1" w:name="_GoBack"/>
      <w:bookmarkEnd w:id="1"/>
      <w:r w:rsidR="00C41E80">
        <w:t xml:space="preserve">arrests and deportations through Secure Communities, but most of these individuals are being deported for reasons other than simply entry or reentry. </w:t>
      </w:r>
      <w:r w:rsidR="00841DA9">
        <w:t>Secondly,</w:t>
      </w:r>
      <w:r w:rsidR="003D427E">
        <w:t xml:space="preserve"> states that share a land border with Mexico or Canada see the bulk of </w:t>
      </w:r>
      <w:r w:rsidR="00962A26">
        <w:t xml:space="preserve">Secure Communities activity. Monitoring trends in arrests and deportations in these states will be </w:t>
      </w:r>
      <w:r w:rsidR="00F21A5D">
        <w:t xml:space="preserve">important in future research. </w:t>
      </w:r>
      <w:r w:rsidR="00C41E80">
        <w:t xml:space="preserve">Thirdly, my analysis found a slight positive correlation between a county’s Hispanic </w:t>
      </w:r>
      <w:r w:rsidR="002C2783">
        <w:t xml:space="preserve">population and the amount of arrests and deportations. </w:t>
      </w:r>
      <w:r w:rsidR="00551381">
        <w:t xml:space="preserve">However, this could </w:t>
      </w:r>
      <w:r w:rsidR="005453BC">
        <w:t xml:space="preserve">merely reflect </w:t>
      </w:r>
      <w:r w:rsidR="00035E6F">
        <w:t xml:space="preserve">the fact that the states with the highest population percentages of </w:t>
      </w:r>
      <w:r w:rsidR="00F13579">
        <w:t>residents</w:t>
      </w:r>
      <w:r w:rsidR="00035E6F">
        <w:t xml:space="preserve"> of Hispanic origin are all located on the U.S-Mexico border</w:t>
      </w:r>
      <w:r w:rsidR="001D4470">
        <w:rPr>
          <w:rStyle w:val="FootnoteReference"/>
        </w:rPr>
        <w:footnoteReference w:id="13"/>
      </w:r>
      <w:r w:rsidR="001D4470">
        <w:t xml:space="preserve">. </w:t>
      </w:r>
      <w:r w:rsidR="00322AD4">
        <w:t xml:space="preserve">And lastly, my regression model showed that political stance and the incarcerated noncitizen population </w:t>
      </w:r>
      <w:r w:rsidR="007E4E0F">
        <w:t xml:space="preserve">are correlated with the number of arrests and deportations in a county. Although my findings are </w:t>
      </w:r>
      <w:r w:rsidR="00365583">
        <w:t xml:space="preserve">not very strong, they </w:t>
      </w:r>
      <w:r w:rsidR="00A0439A">
        <w:t>can</w:t>
      </w:r>
      <w:r w:rsidR="00365583">
        <w:t xml:space="preserve"> serve as a starting point to pursue further research with more robust models. </w:t>
      </w:r>
      <w:r w:rsidR="00960D43">
        <w:t xml:space="preserve">This analysis can also be strengthened if </w:t>
      </w:r>
      <w:r w:rsidR="003D3295">
        <w:t>additional Secure Communities data is released in the future.</w:t>
      </w:r>
    </w:p>
    <w:p w14:paraId="1931D9E9" w14:textId="4E4A95F5" w:rsidR="00B005DD" w:rsidRPr="007C0F70" w:rsidRDefault="00165730" w:rsidP="007C0F70">
      <w:r>
        <w:t xml:space="preserve"> </w:t>
      </w:r>
      <w:r w:rsidR="007A255C">
        <w:t xml:space="preserve">Further </w:t>
      </w:r>
      <w:r w:rsidR="0004715F">
        <w:t xml:space="preserve">research on the program and </w:t>
      </w:r>
      <w:r w:rsidR="0041769E">
        <w:t xml:space="preserve">how it affects detention and deportation of migrants into the U.S. is </w:t>
      </w:r>
      <w:r w:rsidR="00E26744">
        <w:t>vital to making the American immigration and border security systems</w:t>
      </w:r>
      <w:r w:rsidR="007A255C">
        <w:t xml:space="preserve"> fair ones that limit humanitarian abuses</w:t>
      </w:r>
      <w:r w:rsidR="00EE3E93">
        <w:t xml:space="preserve"> and abide by existing immigration law</w:t>
      </w:r>
      <w:r w:rsidR="00E55A8F">
        <w:t>. With the revitalization of Secure Communities under President Trump</w:t>
      </w:r>
      <w:r w:rsidR="00362170">
        <w:t xml:space="preserve"> in the midst of an unprecedented wave of asylum applications from Central America, </w:t>
      </w:r>
      <w:r w:rsidR="00F100B9">
        <w:t xml:space="preserve">it is even more important to ensure that this program is </w:t>
      </w:r>
      <w:r w:rsidR="00463B2D">
        <w:t xml:space="preserve">not being used as a tool merely to keep migrants out, but a tool to </w:t>
      </w:r>
      <w:r w:rsidR="004C5491">
        <w:t>target only those undocumented individuals that pose a threat to others.</w:t>
      </w:r>
    </w:p>
    <w:p w14:paraId="568A0A25" w14:textId="03FD3201" w:rsidR="00987104" w:rsidRDefault="004C77E7" w:rsidP="00A80944">
      <w:pPr>
        <w:pStyle w:val="Heading1"/>
      </w:pPr>
      <w:r>
        <w:t>Supplemental Materials</w:t>
      </w:r>
    </w:p>
    <w:p w14:paraId="078594B5" w14:textId="238FD9BF" w:rsidR="00A80944" w:rsidRPr="004C77E7" w:rsidRDefault="00A80944" w:rsidP="00A80944">
      <w:pPr>
        <w:rPr>
          <w:b/>
          <w:sz w:val="24"/>
          <w:szCs w:val="24"/>
        </w:rPr>
      </w:pPr>
      <w:r w:rsidRPr="004C77E7">
        <w:rPr>
          <w:b/>
          <w:sz w:val="24"/>
          <w:szCs w:val="24"/>
        </w:rPr>
        <w:t>Appendix 1: Data Management Plan</w:t>
      </w:r>
    </w:p>
    <w:p w14:paraId="5480B329" w14:textId="04D6A9F7" w:rsidR="00A80944" w:rsidRDefault="00A80944" w:rsidP="00A80944">
      <w:r>
        <w:t xml:space="preserve">All data I have downloaded onto my personal computer is not accessible via any cloud or external storage such as DropBox or iCloud. Within the folder I have dedicated to this class, I house my collected raw data in a specific subfolder called “Data”. Within this folder, I have another for raw data, and one for copies of the original datasets, that can be linked to the originals by file name; I keep the file names of the original datasets, but append “_copy” to copies I have pushed to GitHub for my analysis. </w:t>
      </w:r>
      <w:r w:rsidR="00CD088F">
        <w:t xml:space="preserve">At the time of writing, my GitHub repository is </w:t>
      </w:r>
      <w:r w:rsidR="00BA4195">
        <w:t>up to date</w:t>
      </w:r>
      <w:r w:rsidR="00CD088F">
        <w:t xml:space="preserve"> with all files used and produced in my analysis.</w:t>
      </w:r>
      <w:r w:rsidR="00383B74">
        <w:t xml:space="preserve"> It can be found here: </w:t>
      </w:r>
      <w:r w:rsidR="001F600A" w:rsidRPr="001F600A">
        <w:t>https://github.com/mgmills93/AEM_Spring_2019/tree/master/SecureCommunities_FinalProject</w:t>
      </w:r>
      <w:r w:rsidR="001F600A">
        <w:t xml:space="preserve"> . I plan on leaving</w:t>
      </w:r>
      <w:r w:rsidR="007813BB">
        <w:t xml:space="preserve"> the repository containing </w:t>
      </w:r>
      <w:r w:rsidR="00A0439A">
        <w:t>all</w:t>
      </w:r>
      <w:r w:rsidR="007813BB">
        <w:t xml:space="preserve"> my research up in my GitHub for the next two years.</w:t>
      </w:r>
    </w:p>
    <w:p w14:paraId="68660282" w14:textId="78207356" w:rsidR="00A80944" w:rsidRDefault="00A80944" w:rsidP="00A80944">
      <w:r>
        <w:t xml:space="preserve">To safeguard </w:t>
      </w:r>
      <w:r w:rsidR="00FC16C1">
        <w:t>all</w:t>
      </w:r>
      <w:r>
        <w:t xml:space="preserve"> my computer’s files, including my data, I back up to an external hard drive on the last day of every month. I plan to continue to back up my school-related files for a year after I graduate from LBJ in case I need to refer to anything within that time frame. My external hard drive is stored in a secure location in my apartment and will have a dedicated storage location in my new living situation when I move. </w:t>
      </w:r>
    </w:p>
    <w:p w14:paraId="4C52DD5F" w14:textId="5A0667EA" w:rsidR="00D741BE" w:rsidRDefault="00D741BE" w:rsidP="00A80944">
      <w:pPr>
        <w:rPr>
          <w:b/>
          <w:sz w:val="24"/>
          <w:szCs w:val="24"/>
        </w:rPr>
      </w:pPr>
      <w:r w:rsidRPr="008A0A3E">
        <w:rPr>
          <w:b/>
          <w:sz w:val="24"/>
          <w:szCs w:val="24"/>
        </w:rPr>
        <w:lastRenderedPageBreak/>
        <w:t xml:space="preserve">Appendix 2: TRAC Immigration </w:t>
      </w:r>
      <w:r w:rsidR="008A0A3E">
        <w:rPr>
          <w:b/>
          <w:sz w:val="24"/>
          <w:szCs w:val="24"/>
        </w:rPr>
        <w:t>Top Criminal Offense Table</w:t>
      </w:r>
      <w:r w:rsidR="00BA29BC">
        <w:rPr>
          <w:rStyle w:val="FootnoteReference"/>
          <w:b/>
          <w:sz w:val="24"/>
          <w:szCs w:val="24"/>
        </w:rPr>
        <w:footnoteReference w:id="14"/>
      </w:r>
    </w:p>
    <w:p w14:paraId="685B44B0" w14:textId="5BE9A7FE" w:rsidR="008A0A3E" w:rsidRPr="008A0A3E" w:rsidRDefault="002205D4" w:rsidP="00A80944">
      <w:r>
        <w:t xml:space="preserve">I used this table from TRAC Immigration to both </w:t>
      </w:r>
      <w:r w:rsidR="00866504">
        <w:t xml:space="preserve">categorize </w:t>
      </w:r>
      <w:r w:rsidR="00935135">
        <w:t xml:space="preserve">criminal offenses in part two of Question 2 and validate my findings that showed that </w:t>
      </w:r>
      <w:r w:rsidR="00FC16C1">
        <w:t>most</w:t>
      </w:r>
      <w:r w:rsidR="00935135">
        <w:t xml:space="preserve"> individuals deported through SC </w:t>
      </w:r>
      <w:r w:rsidR="007121A9">
        <w:t xml:space="preserve">committed crimes other than illegal entry or re-entry. </w:t>
      </w:r>
    </w:p>
    <w:p w14:paraId="37F3F35D" w14:textId="77777777" w:rsidR="00D741BE" w:rsidRPr="00D741BE" w:rsidRDefault="00D741BE" w:rsidP="00D741BE">
      <w:pPr>
        <w:shd w:val="clear" w:color="auto" w:fill="F5F6C8"/>
        <w:spacing w:after="0" w:line="216" w:lineRule="atLeast"/>
        <w:jc w:val="center"/>
        <w:textAlignment w:val="top"/>
        <w:rPr>
          <w:rFonts w:ascii="Trebuchet MS" w:eastAsia="Times New Roman" w:hAnsi="Trebuchet MS" w:cs="Times New Roman"/>
          <w:b/>
          <w:bCs/>
          <w:color w:val="000077"/>
          <w:sz w:val="18"/>
          <w:szCs w:val="18"/>
        </w:rPr>
      </w:pPr>
      <w:r w:rsidRPr="00D741BE">
        <w:rPr>
          <w:rFonts w:ascii="Trebuchet MS" w:eastAsia="Times New Roman" w:hAnsi="Trebuchet MS" w:cs="Times New Roman"/>
          <w:b/>
          <w:bCs/>
          <w:color w:val="000077"/>
          <w:sz w:val="18"/>
          <w:szCs w:val="18"/>
        </w:rPr>
        <w:t>Table 2. The Most Serious Criminal Conviction for Individuals with ICE Detainers</w:t>
      </w:r>
    </w:p>
    <w:tbl>
      <w:tblPr>
        <w:tblW w:w="5000" w:type="pct"/>
        <w:jc w:val="center"/>
        <w:tblCellSpacing w:w="0" w:type="dxa"/>
        <w:shd w:val="clear" w:color="auto" w:fill="F5F6C8"/>
        <w:tblCellMar>
          <w:top w:w="30" w:type="dxa"/>
          <w:left w:w="30" w:type="dxa"/>
          <w:bottom w:w="30" w:type="dxa"/>
          <w:right w:w="30" w:type="dxa"/>
        </w:tblCellMar>
        <w:tblLook w:val="04A0" w:firstRow="1" w:lastRow="0" w:firstColumn="1" w:lastColumn="0" w:noHBand="0" w:noVBand="1"/>
      </w:tblPr>
      <w:tblGrid>
        <w:gridCol w:w="6625"/>
        <w:gridCol w:w="1133"/>
        <w:gridCol w:w="1104"/>
        <w:gridCol w:w="786"/>
      </w:tblGrid>
      <w:tr w:rsidR="00D741BE" w:rsidRPr="00D741BE" w14:paraId="72878261" w14:textId="77777777" w:rsidTr="00D741BE">
        <w:trPr>
          <w:tblCellSpacing w:w="0" w:type="dxa"/>
          <w:jc w:val="center"/>
        </w:trPr>
        <w:tc>
          <w:tcPr>
            <w:tcW w:w="0" w:type="auto"/>
            <w:shd w:val="clear" w:color="auto" w:fill="8FC7C4"/>
            <w:tcMar>
              <w:top w:w="45" w:type="dxa"/>
              <w:left w:w="45" w:type="dxa"/>
              <w:bottom w:w="45" w:type="dxa"/>
              <w:right w:w="45" w:type="dxa"/>
            </w:tcMar>
            <w:vAlign w:val="center"/>
            <w:hideMark/>
          </w:tcPr>
          <w:p w14:paraId="24CC1173" w14:textId="77777777" w:rsidR="00D741BE" w:rsidRPr="00D741BE" w:rsidRDefault="00D741BE" w:rsidP="00D741BE">
            <w:pPr>
              <w:spacing w:after="0" w:line="240" w:lineRule="auto"/>
              <w:jc w:val="center"/>
              <w:rPr>
                <w:rFonts w:ascii="Arial" w:eastAsia="Times New Roman" w:hAnsi="Arial" w:cs="Arial"/>
                <w:b/>
                <w:bCs/>
                <w:color w:val="FFFFFF"/>
                <w:sz w:val="16"/>
                <w:szCs w:val="16"/>
              </w:rPr>
            </w:pPr>
            <w:r w:rsidRPr="00D741BE">
              <w:rPr>
                <w:rFonts w:ascii="Arial" w:eastAsia="Times New Roman" w:hAnsi="Arial" w:cs="Arial"/>
                <w:b/>
                <w:bCs/>
                <w:color w:val="FFFFFF"/>
                <w:sz w:val="16"/>
                <w:szCs w:val="16"/>
              </w:rPr>
              <w:t>Top 25 Offenses Recorded*</w:t>
            </w:r>
          </w:p>
        </w:tc>
        <w:tc>
          <w:tcPr>
            <w:tcW w:w="0" w:type="auto"/>
            <w:shd w:val="clear" w:color="auto" w:fill="8FC7C4"/>
            <w:tcMar>
              <w:top w:w="45" w:type="dxa"/>
              <w:left w:w="45" w:type="dxa"/>
              <w:bottom w:w="45" w:type="dxa"/>
              <w:right w:w="45" w:type="dxa"/>
            </w:tcMar>
            <w:vAlign w:val="center"/>
            <w:hideMark/>
          </w:tcPr>
          <w:p w14:paraId="43C63A60" w14:textId="77777777" w:rsidR="00D741BE" w:rsidRPr="00D741BE" w:rsidRDefault="00D741BE" w:rsidP="00D741BE">
            <w:pPr>
              <w:spacing w:after="0" w:line="240" w:lineRule="auto"/>
              <w:jc w:val="center"/>
              <w:rPr>
                <w:rFonts w:ascii="Arial" w:eastAsia="Times New Roman" w:hAnsi="Arial" w:cs="Arial"/>
                <w:b/>
                <w:bCs/>
                <w:color w:val="FFFFFF"/>
                <w:sz w:val="16"/>
                <w:szCs w:val="16"/>
              </w:rPr>
            </w:pPr>
            <w:r w:rsidRPr="00D741BE">
              <w:rPr>
                <w:rFonts w:ascii="Arial" w:eastAsia="Times New Roman" w:hAnsi="Arial" w:cs="Arial"/>
                <w:b/>
                <w:bCs/>
                <w:color w:val="FFFFFF"/>
                <w:sz w:val="16"/>
                <w:szCs w:val="16"/>
              </w:rPr>
              <w:t>Number</w:t>
            </w:r>
          </w:p>
        </w:tc>
        <w:tc>
          <w:tcPr>
            <w:tcW w:w="0" w:type="auto"/>
            <w:shd w:val="clear" w:color="auto" w:fill="8FC7C4"/>
            <w:tcMar>
              <w:top w:w="45" w:type="dxa"/>
              <w:left w:w="45" w:type="dxa"/>
              <w:bottom w:w="45" w:type="dxa"/>
              <w:right w:w="45" w:type="dxa"/>
            </w:tcMar>
            <w:vAlign w:val="center"/>
            <w:hideMark/>
          </w:tcPr>
          <w:p w14:paraId="26BA474C" w14:textId="77777777" w:rsidR="00D741BE" w:rsidRPr="00D741BE" w:rsidRDefault="00D741BE" w:rsidP="00D741BE">
            <w:pPr>
              <w:spacing w:after="0" w:line="240" w:lineRule="auto"/>
              <w:jc w:val="center"/>
              <w:rPr>
                <w:rFonts w:ascii="Arial" w:eastAsia="Times New Roman" w:hAnsi="Arial" w:cs="Arial"/>
                <w:b/>
                <w:bCs/>
                <w:color w:val="FFFFFF"/>
                <w:sz w:val="16"/>
                <w:szCs w:val="16"/>
              </w:rPr>
            </w:pPr>
            <w:r w:rsidRPr="00D741BE">
              <w:rPr>
                <w:rFonts w:ascii="Arial" w:eastAsia="Times New Roman" w:hAnsi="Arial" w:cs="Arial"/>
                <w:b/>
                <w:bCs/>
                <w:color w:val="FFFFFF"/>
                <w:sz w:val="16"/>
                <w:szCs w:val="16"/>
              </w:rPr>
              <w:t>Percent</w:t>
            </w:r>
          </w:p>
        </w:tc>
        <w:tc>
          <w:tcPr>
            <w:tcW w:w="0" w:type="auto"/>
            <w:shd w:val="clear" w:color="auto" w:fill="8FC7C4"/>
            <w:tcMar>
              <w:top w:w="45" w:type="dxa"/>
              <w:left w:w="45" w:type="dxa"/>
              <w:bottom w:w="45" w:type="dxa"/>
              <w:right w:w="45" w:type="dxa"/>
            </w:tcMar>
            <w:vAlign w:val="center"/>
            <w:hideMark/>
          </w:tcPr>
          <w:p w14:paraId="534E00F4" w14:textId="77777777" w:rsidR="00D741BE" w:rsidRPr="00D741BE" w:rsidRDefault="00D741BE" w:rsidP="00D741BE">
            <w:pPr>
              <w:spacing w:after="0" w:line="240" w:lineRule="auto"/>
              <w:jc w:val="center"/>
              <w:rPr>
                <w:rFonts w:ascii="Arial" w:eastAsia="Times New Roman" w:hAnsi="Arial" w:cs="Arial"/>
                <w:b/>
                <w:bCs/>
                <w:color w:val="FFFFFF"/>
                <w:sz w:val="16"/>
                <w:szCs w:val="16"/>
              </w:rPr>
            </w:pPr>
            <w:r w:rsidRPr="00D741BE">
              <w:rPr>
                <w:rFonts w:ascii="Arial" w:eastAsia="Times New Roman" w:hAnsi="Arial" w:cs="Arial"/>
                <w:b/>
                <w:bCs/>
                <w:color w:val="FFFFFF"/>
                <w:sz w:val="16"/>
                <w:szCs w:val="16"/>
              </w:rPr>
              <w:t>Rank</w:t>
            </w:r>
          </w:p>
        </w:tc>
      </w:tr>
      <w:tr w:rsidR="00D741BE" w:rsidRPr="00D741BE" w14:paraId="2C3F8C3C"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53A1B91A"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All detainers</w:t>
            </w:r>
          </w:p>
        </w:tc>
        <w:tc>
          <w:tcPr>
            <w:tcW w:w="0" w:type="auto"/>
            <w:shd w:val="clear" w:color="auto" w:fill="FCF6D2"/>
            <w:tcMar>
              <w:top w:w="45" w:type="dxa"/>
              <w:left w:w="45" w:type="dxa"/>
              <w:bottom w:w="45" w:type="dxa"/>
              <w:right w:w="45" w:type="dxa"/>
            </w:tcMar>
            <w:hideMark/>
          </w:tcPr>
          <w:p w14:paraId="7E46E9A4"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347,691</w:t>
            </w:r>
          </w:p>
        </w:tc>
        <w:tc>
          <w:tcPr>
            <w:tcW w:w="0" w:type="auto"/>
            <w:shd w:val="clear" w:color="auto" w:fill="FCF6D2"/>
            <w:tcMar>
              <w:top w:w="45" w:type="dxa"/>
              <w:left w:w="45" w:type="dxa"/>
              <w:bottom w:w="45" w:type="dxa"/>
              <w:right w:w="45" w:type="dxa"/>
            </w:tcMar>
            <w:hideMark/>
          </w:tcPr>
          <w:p w14:paraId="017E388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100.0%</w:t>
            </w:r>
          </w:p>
        </w:tc>
        <w:tc>
          <w:tcPr>
            <w:tcW w:w="0" w:type="auto"/>
            <w:shd w:val="clear" w:color="auto" w:fill="F5F6C8"/>
            <w:vAlign w:val="center"/>
            <w:hideMark/>
          </w:tcPr>
          <w:p w14:paraId="624C82B7" w14:textId="77777777" w:rsidR="00D741BE" w:rsidRPr="00D741BE" w:rsidRDefault="00D741BE" w:rsidP="00D741BE">
            <w:pPr>
              <w:spacing w:after="0" w:line="240" w:lineRule="auto"/>
              <w:rPr>
                <w:rFonts w:ascii="Times New Roman" w:eastAsia="Times New Roman" w:hAnsi="Times New Roman" w:cs="Times New Roman"/>
                <w:sz w:val="20"/>
                <w:szCs w:val="20"/>
              </w:rPr>
            </w:pPr>
          </w:p>
        </w:tc>
      </w:tr>
      <w:tr w:rsidR="00D741BE" w:rsidRPr="00D741BE" w14:paraId="6DC23E7F"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1CF3B25D"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None</w:t>
            </w:r>
          </w:p>
        </w:tc>
        <w:tc>
          <w:tcPr>
            <w:tcW w:w="0" w:type="auto"/>
            <w:shd w:val="clear" w:color="auto" w:fill="FCF6D2"/>
            <w:tcMar>
              <w:top w:w="45" w:type="dxa"/>
              <w:left w:w="45" w:type="dxa"/>
              <w:bottom w:w="45" w:type="dxa"/>
              <w:right w:w="45" w:type="dxa"/>
            </w:tcMar>
            <w:hideMark/>
          </w:tcPr>
          <w:p w14:paraId="4C0E6816"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165,769</w:t>
            </w:r>
          </w:p>
        </w:tc>
        <w:tc>
          <w:tcPr>
            <w:tcW w:w="0" w:type="auto"/>
            <w:shd w:val="clear" w:color="auto" w:fill="FCF6D2"/>
            <w:tcMar>
              <w:top w:w="45" w:type="dxa"/>
              <w:left w:w="45" w:type="dxa"/>
              <w:bottom w:w="45" w:type="dxa"/>
              <w:right w:w="45" w:type="dxa"/>
            </w:tcMar>
            <w:hideMark/>
          </w:tcPr>
          <w:p w14:paraId="5FBBE6B6"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47.7%</w:t>
            </w:r>
          </w:p>
        </w:tc>
        <w:tc>
          <w:tcPr>
            <w:tcW w:w="0" w:type="auto"/>
            <w:shd w:val="clear" w:color="auto" w:fill="FCF6D2"/>
            <w:tcMar>
              <w:top w:w="45" w:type="dxa"/>
              <w:left w:w="45" w:type="dxa"/>
              <w:bottom w:w="45" w:type="dxa"/>
              <w:right w:w="45" w:type="dxa"/>
            </w:tcMar>
            <w:hideMark/>
          </w:tcPr>
          <w:p w14:paraId="468EC256"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w:t>
            </w:r>
          </w:p>
        </w:tc>
      </w:tr>
      <w:tr w:rsidR="00D741BE" w:rsidRPr="00D741BE" w14:paraId="62BA8F62"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4FE4857F"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Driving Under Influence Liquor</w:t>
            </w:r>
          </w:p>
        </w:tc>
        <w:tc>
          <w:tcPr>
            <w:tcW w:w="0" w:type="auto"/>
            <w:shd w:val="clear" w:color="auto" w:fill="FCF6D2"/>
            <w:tcMar>
              <w:top w:w="45" w:type="dxa"/>
              <w:left w:w="45" w:type="dxa"/>
              <w:bottom w:w="45" w:type="dxa"/>
              <w:right w:w="45" w:type="dxa"/>
            </w:tcMar>
            <w:hideMark/>
          </w:tcPr>
          <w:p w14:paraId="0CE2409E"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33,342</w:t>
            </w:r>
          </w:p>
        </w:tc>
        <w:tc>
          <w:tcPr>
            <w:tcW w:w="0" w:type="auto"/>
            <w:shd w:val="clear" w:color="auto" w:fill="FCF6D2"/>
            <w:tcMar>
              <w:top w:w="45" w:type="dxa"/>
              <w:left w:w="45" w:type="dxa"/>
              <w:bottom w:w="45" w:type="dxa"/>
              <w:right w:w="45" w:type="dxa"/>
            </w:tcMar>
            <w:hideMark/>
          </w:tcPr>
          <w:p w14:paraId="5ED59AF4"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9.6%</w:t>
            </w:r>
          </w:p>
        </w:tc>
        <w:tc>
          <w:tcPr>
            <w:tcW w:w="0" w:type="auto"/>
            <w:shd w:val="clear" w:color="auto" w:fill="FCF6D2"/>
            <w:tcMar>
              <w:top w:w="45" w:type="dxa"/>
              <w:left w:w="45" w:type="dxa"/>
              <w:bottom w:w="45" w:type="dxa"/>
              <w:right w:w="45" w:type="dxa"/>
            </w:tcMar>
            <w:hideMark/>
          </w:tcPr>
          <w:p w14:paraId="43A66D44"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w:t>
            </w:r>
          </w:p>
        </w:tc>
      </w:tr>
      <w:tr w:rsidR="00D741BE" w:rsidRPr="00D741BE" w14:paraId="34452E65"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2A1B9FF5"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Traffic Offense</w:t>
            </w:r>
          </w:p>
        </w:tc>
        <w:tc>
          <w:tcPr>
            <w:tcW w:w="0" w:type="auto"/>
            <w:shd w:val="clear" w:color="auto" w:fill="FCF6D2"/>
            <w:tcMar>
              <w:top w:w="45" w:type="dxa"/>
              <w:left w:w="45" w:type="dxa"/>
              <w:bottom w:w="45" w:type="dxa"/>
              <w:right w:w="45" w:type="dxa"/>
            </w:tcMar>
            <w:hideMark/>
          </w:tcPr>
          <w:p w14:paraId="00D44F6D"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20,997</w:t>
            </w:r>
          </w:p>
        </w:tc>
        <w:tc>
          <w:tcPr>
            <w:tcW w:w="0" w:type="auto"/>
            <w:shd w:val="clear" w:color="auto" w:fill="FCF6D2"/>
            <w:tcMar>
              <w:top w:w="45" w:type="dxa"/>
              <w:left w:w="45" w:type="dxa"/>
              <w:bottom w:w="45" w:type="dxa"/>
              <w:right w:w="45" w:type="dxa"/>
            </w:tcMar>
            <w:hideMark/>
          </w:tcPr>
          <w:p w14:paraId="6BF7BEC5"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6.0%</w:t>
            </w:r>
          </w:p>
        </w:tc>
        <w:tc>
          <w:tcPr>
            <w:tcW w:w="0" w:type="auto"/>
            <w:shd w:val="clear" w:color="auto" w:fill="FCF6D2"/>
            <w:tcMar>
              <w:top w:w="45" w:type="dxa"/>
              <w:left w:w="45" w:type="dxa"/>
              <w:bottom w:w="45" w:type="dxa"/>
              <w:right w:w="45" w:type="dxa"/>
            </w:tcMar>
            <w:hideMark/>
          </w:tcPr>
          <w:p w14:paraId="1A5E71EC"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w:t>
            </w:r>
          </w:p>
        </w:tc>
      </w:tr>
      <w:tr w:rsidR="00D741BE" w:rsidRPr="00D741BE" w14:paraId="588508C9"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5D11B35A"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Marijuana - Possession</w:t>
            </w:r>
          </w:p>
        </w:tc>
        <w:tc>
          <w:tcPr>
            <w:tcW w:w="0" w:type="auto"/>
            <w:shd w:val="clear" w:color="auto" w:fill="FCF6D2"/>
            <w:tcMar>
              <w:top w:w="45" w:type="dxa"/>
              <w:left w:w="45" w:type="dxa"/>
              <w:bottom w:w="45" w:type="dxa"/>
              <w:right w:w="45" w:type="dxa"/>
            </w:tcMar>
            <w:hideMark/>
          </w:tcPr>
          <w:p w14:paraId="0B1A7BA9"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6,940</w:t>
            </w:r>
          </w:p>
        </w:tc>
        <w:tc>
          <w:tcPr>
            <w:tcW w:w="0" w:type="auto"/>
            <w:shd w:val="clear" w:color="auto" w:fill="FCF6D2"/>
            <w:tcMar>
              <w:top w:w="45" w:type="dxa"/>
              <w:left w:w="45" w:type="dxa"/>
              <w:bottom w:w="45" w:type="dxa"/>
              <w:right w:w="45" w:type="dxa"/>
            </w:tcMar>
            <w:hideMark/>
          </w:tcPr>
          <w:p w14:paraId="1206AE75"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2.0%</w:t>
            </w:r>
          </w:p>
        </w:tc>
        <w:tc>
          <w:tcPr>
            <w:tcW w:w="0" w:type="auto"/>
            <w:shd w:val="clear" w:color="auto" w:fill="FCF6D2"/>
            <w:tcMar>
              <w:top w:w="45" w:type="dxa"/>
              <w:left w:w="45" w:type="dxa"/>
              <w:bottom w:w="45" w:type="dxa"/>
              <w:right w:w="45" w:type="dxa"/>
            </w:tcMar>
            <w:hideMark/>
          </w:tcPr>
          <w:p w14:paraId="255F6A7D"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4</w:t>
            </w:r>
          </w:p>
        </w:tc>
      </w:tr>
      <w:tr w:rsidR="00D741BE" w:rsidRPr="00D741BE" w14:paraId="097F829D"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02AEFCE3"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Illegal Entry (INA SEC.101(a)(43)(O), 8USC1325 only)</w:t>
            </w:r>
          </w:p>
        </w:tc>
        <w:tc>
          <w:tcPr>
            <w:tcW w:w="0" w:type="auto"/>
            <w:shd w:val="clear" w:color="auto" w:fill="FCF6D2"/>
            <w:tcMar>
              <w:top w:w="45" w:type="dxa"/>
              <w:left w:w="45" w:type="dxa"/>
              <w:bottom w:w="45" w:type="dxa"/>
              <w:right w:w="45" w:type="dxa"/>
            </w:tcMar>
            <w:hideMark/>
          </w:tcPr>
          <w:p w14:paraId="0E28393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6,746</w:t>
            </w:r>
          </w:p>
        </w:tc>
        <w:tc>
          <w:tcPr>
            <w:tcW w:w="0" w:type="auto"/>
            <w:shd w:val="clear" w:color="auto" w:fill="FCF6D2"/>
            <w:tcMar>
              <w:top w:w="45" w:type="dxa"/>
              <w:left w:w="45" w:type="dxa"/>
              <w:bottom w:w="45" w:type="dxa"/>
              <w:right w:w="45" w:type="dxa"/>
            </w:tcMar>
            <w:hideMark/>
          </w:tcPr>
          <w:p w14:paraId="382838B8"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1.9%</w:t>
            </w:r>
          </w:p>
        </w:tc>
        <w:tc>
          <w:tcPr>
            <w:tcW w:w="0" w:type="auto"/>
            <w:shd w:val="clear" w:color="auto" w:fill="FCF6D2"/>
            <w:tcMar>
              <w:top w:w="45" w:type="dxa"/>
              <w:left w:w="45" w:type="dxa"/>
              <w:bottom w:w="45" w:type="dxa"/>
              <w:right w:w="45" w:type="dxa"/>
            </w:tcMar>
            <w:hideMark/>
          </w:tcPr>
          <w:p w14:paraId="7A14C2B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5</w:t>
            </w:r>
          </w:p>
        </w:tc>
      </w:tr>
      <w:tr w:rsidR="00D741BE" w:rsidRPr="00D741BE" w14:paraId="77079CF8"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7BC26C1E"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Dangerous Drugs</w:t>
            </w:r>
          </w:p>
        </w:tc>
        <w:tc>
          <w:tcPr>
            <w:tcW w:w="0" w:type="auto"/>
            <w:shd w:val="clear" w:color="auto" w:fill="FCF6D2"/>
            <w:tcMar>
              <w:top w:w="45" w:type="dxa"/>
              <w:left w:w="45" w:type="dxa"/>
              <w:bottom w:w="45" w:type="dxa"/>
              <w:right w:w="45" w:type="dxa"/>
            </w:tcMar>
            <w:hideMark/>
          </w:tcPr>
          <w:p w14:paraId="6CBAA5BE"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6,724</w:t>
            </w:r>
          </w:p>
        </w:tc>
        <w:tc>
          <w:tcPr>
            <w:tcW w:w="0" w:type="auto"/>
            <w:shd w:val="clear" w:color="auto" w:fill="FCF6D2"/>
            <w:tcMar>
              <w:top w:w="45" w:type="dxa"/>
              <w:left w:w="45" w:type="dxa"/>
              <w:bottom w:w="45" w:type="dxa"/>
              <w:right w:w="45" w:type="dxa"/>
            </w:tcMar>
            <w:hideMark/>
          </w:tcPr>
          <w:p w14:paraId="4F756B20"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1.9%</w:t>
            </w:r>
          </w:p>
        </w:tc>
        <w:tc>
          <w:tcPr>
            <w:tcW w:w="0" w:type="auto"/>
            <w:shd w:val="clear" w:color="auto" w:fill="FCF6D2"/>
            <w:tcMar>
              <w:top w:w="45" w:type="dxa"/>
              <w:left w:w="45" w:type="dxa"/>
              <w:bottom w:w="45" w:type="dxa"/>
              <w:right w:w="45" w:type="dxa"/>
            </w:tcMar>
            <w:hideMark/>
          </w:tcPr>
          <w:p w14:paraId="669B8343"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w:t>
            </w:r>
          </w:p>
        </w:tc>
      </w:tr>
      <w:tr w:rsidR="00D741BE" w:rsidRPr="00D741BE" w14:paraId="72BD5F7C"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7A1DCB0E"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Cocaine - Possession</w:t>
            </w:r>
          </w:p>
        </w:tc>
        <w:tc>
          <w:tcPr>
            <w:tcW w:w="0" w:type="auto"/>
            <w:shd w:val="clear" w:color="auto" w:fill="FCF6D2"/>
            <w:tcMar>
              <w:top w:w="45" w:type="dxa"/>
              <w:left w:w="45" w:type="dxa"/>
              <w:bottom w:w="45" w:type="dxa"/>
              <w:right w:w="45" w:type="dxa"/>
            </w:tcMar>
            <w:hideMark/>
          </w:tcPr>
          <w:p w14:paraId="6403C6C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6,644</w:t>
            </w:r>
          </w:p>
        </w:tc>
        <w:tc>
          <w:tcPr>
            <w:tcW w:w="0" w:type="auto"/>
            <w:shd w:val="clear" w:color="auto" w:fill="FCF6D2"/>
            <w:tcMar>
              <w:top w:w="45" w:type="dxa"/>
              <w:left w:w="45" w:type="dxa"/>
              <w:bottom w:w="45" w:type="dxa"/>
              <w:right w:w="45" w:type="dxa"/>
            </w:tcMar>
            <w:hideMark/>
          </w:tcPr>
          <w:p w14:paraId="7FECBEE3"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1.9%</w:t>
            </w:r>
          </w:p>
        </w:tc>
        <w:tc>
          <w:tcPr>
            <w:tcW w:w="0" w:type="auto"/>
            <w:shd w:val="clear" w:color="auto" w:fill="FCF6D2"/>
            <w:tcMar>
              <w:top w:w="45" w:type="dxa"/>
              <w:left w:w="45" w:type="dxa"/>
              <w:bottom w:w="45" w:type="dxa"/>
              <w:right w:w="45" w:type="dxa"/>
            </w:tcMar>
            <w:hideMark/>
          </w:tcPr>
          <w:p w14:paraId="3864166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7</w:t>
            </w:r>
          </w:p>
        </w:tc>
      </w:tr>
      <w:tr w:rsidR="00D741BE" w:rsidRPr="00D741BE" w14:paraId="47723B57"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66051CF8"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Assault</w:t>
            </w:r>
          </w:p>
        </w:tc>
        <w:tc>
          <w:tcPr>
            <w:tcW w:w="0" w:type="auto"/>
            <w:shd w:val="clear" w:color="auto" w:fill="FCF6D2"/>
            <w:tcMar>
              <w:top w:w="45" w:type="dxa"/>
              <w:left w:w="45" w:type="dxa"/>
              <w:bottom w:w="45" w:type="dxa"/>
              <w:right w:w="45" w:type="dxa"/>
            </w:tcMar>
            <w:hideMark/>
          </w:tcPr>
          <w:p w14:paraId="6D3538EC"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6,234</w:t>
            </w:r>
          </w:p>
        </w:tc>
        <w:tc>
          <w:tcPr>
            <w:tcW w:w="0" w:type="auto"/>
            <w:shd w:val="clear" w:color="auto" w:fill="FCF6D2"/>
            <w:tcMar>
              <w:top w:w="45" w:type="dxa"/>
              <w:left w:w="45" w:type="dxa"/>
              <w:bottom w:w="45" w:type="dxa"/>
              <w:right w:w="45" w:type="dxa"/>
            </w:tcMar>
            <w:hideMark/>
          </w:tcPr>
          <w:p w14:paraId="2DD5A5FA"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1.8%</w:t>
            </w:r>
          </w:p>
        </w:tc>
        <w:tc>
          <w:tcPr>
            <w:tcW w:w="0" w:type="auto"/>
            <w:shd w:val="clear" w:color="auto" w:fill="FCF6D2"/>
            <w:tcMar>
              <w:top w:w="45" w:type="dxa"/>
              <w:left w:w="45" w:type="dxa"/>
              <w:bottom w:w="45" w:type="dxa"/>
              <w:right w:w="45" w:type="dxa"/>
            </w:tcMar>
            <w:hideMark/>
          </w:tcPr>
          <w:p w14:paraId="784D458D"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8</w:t>
            </w:r>
          </w:p>
        </w:tc>
      </w:tr>
      <w:tr w:rsidR="00D741BE" w:rsidRPr="00D741BE" w14:paraId="06FD7886"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045B6209"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Larceny</w:t>
            </w:r>
          </w:p>
        </w:tc>
        <w:tc>
          <w:tcPr>
            <w:tcW w:w="0" w:type="auto"/>
            <w:shd w:val="clear" w:color="auto" w:fill="FCF6D2"/>
            <w:tcMar>
              <w:top w:w="45" w:type="dxa"/>
              <w:left w:w="45" w:type="dxa"/>
              <w:bottom w:w="45" w:type="dxa"/>
              <w:right w:w="45" w:type="dxa"/>
            </w:tcMar>
            <w:hideMark/>
          </w:tcPr>
          <w:p w14:paraId="40CC9630"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4,891</w:t>
            </w:r>
          </w:p>
        </w:tc>
        <w:tc>
          <w:tcPr>
            <w:tcW w:w="0" w:type="auto"/>
            <w:shd w:val="clear" w:color="auto" w:fill="FCF6D2"/>
            <w:tcMar>
              <w:top w:w="45" w:type="dxa"/>
              <w:left w:w="45" w:type="dxa"/>
              <w:bottom w:w="45" w:type="dxa"/>
              <w:right w:w="45" w:type="dxa"/>
            </w:tcMar>
            <w:hideMark/>
          </w:tcPr>
          <w:p w14:paraId="03AA7BA5"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1.4%</w:t>
            </w:r>
          </w:p>
        </w:tc>
        <w:tc>
          <w:tcPr>
            <w:tcW w:w="0" w:type="auto"/>
            <w:shd w:val="clear" w:color="auto" w:fill="FCF6D2"/>
            <w:tcMar>
              <w:top w:w="45" w:type="dxa"/>
              <w:left w:w="45" w:type="dxa"/>
              <w:bottom w:w="45" w:type="dxa"/>
              <w:right w:w="45" w:type="dxa"/>
            </w:tcMar>
            <w:hideMark/>
          </w:tcPr>
          <w:p w14:paraId="3E56120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9</w:t>
            </w:r>
          </w:p>
        </w:tc>
      </w:tr>
      <w:tr w:rsidR="00D741BE" w:rsidRPr="00D741BE" w14:paraId="6CA56939"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45055D15"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Cocaine - Sell</w:t>
            </w:r>
          </w:p>
        </w:tc>
        <w:tc>
          <w:tcPr>
            <w:tcW w:w="0" w:type="auto"/>
            <w:shd w:val="clear" w:color="auto" w:fill="FCF6D2"/>
            <w:tcMar>
              <w:top w:w="45" w:type="dxa"/>
              <w:left w:w="45" w:type="dxa"/>
              <w:bottom w:w="45" w:type="dxa"/>
              <w:right w:w="45" w:type="dxa"/>
            </w:tcMar>
            <w:hideMark/>
          </w:tcPr>
          <w:p w14:paraId="79D0D58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4,314</w:t>
            </w:r>
          </w:p>
        </w:tc>
        <w:tc>
          <w:tcPr>
            <w:tcW w:w="0" w:type="auto"/>
            <w:shd w:val="clear" w:color="auto" w:fill="FCF6D2"/>
            <w:tcMar>
              <w:top w:w="45" w:type="dxa"/>
              <w:left w:w="45" w:type="dxa"/>
              <w:bottom w:w="45" w:type="dxa"/>
              <w:right w:w="45" w:type="dxa"/>
            </w:tcMar>
            <w:hideMark/>
          </w:tcPr>
          <w:p w14:paraId="5B9B9EC3"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1.2%</w:t>
            </w:r>
          </w:p>
        </w:tc>
        <w:tc>
          <w:tcPr>
            <w:tcW w:w="0" w:type="auto"/>
            <w:shd w:val="clear" w:color="auto" w:fill="FCF6D2"/>
            <w:tcMar>
              <w:top w:w="45" w:type="dxa"/>
              <w:left w:w="45" w:type="dxa"/>
              <w:bottom w:w="45" w:type="dxa"/>
              <w:right w:w="45" w:type="dxa"/>
            </w:tcMar>
            <w:hideMark/>
          </w:tcPr>
          <w:p w14:paraId="7C26841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10</w:t>
            </w:r>
          </w:p>
        </w:tc>
      </w:tr>
      <w:tr w:rsidR="00D741BE" w:rsidRPr="00D741BE" w14:paraId="0CE847BC"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20C2A306"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Robbery</w:t>
            </w:r>
          </w:p>
        </w:tc>
        <w:tc>
          <w:tcPr>
            <w:tcW w:w="0" w:type="auto"/>
            <w:shd w:val="clear" w:color="auto" w:fill="FCF6D2"/>
            <w:tcMar>
              <w:top w:w="45" w:type="dxa"/>
              <w:left w:w="45" w:type="dxa"/>
              <w:bottom w:w="45" w:type="dxa"/>
              <w:right w:w="45" w:type="dxa"/>
            </w:tcMar>
            <w:hideMark/>
          </w:tcPr>
          <w:p w14:paraId="65F4E5A2"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3,480</w:t>
            </w:r>
          </w:p>
        </w:tc>
        <w:tc>
          <w:tcPr>
            <w:tcW w:w="0" w:type="auto"/>
            <w:shd w:val="clear" w:color="auto" w:fill="FCF6D2"/>
            <w:tcMar>
              <w:top w:w="45" w:type="dxa"/>
              <w:left w:w="45" w:type="dxa"/>
              <w:bottom w:w="45" w:type="dxa"/>
              <w:right w:w="45" w:type="dxa"/>
            </w:tcMar>
            <w:hideMark/>
          </w:tcPr>
          <w:p w14:paraId="7F1A6A7D"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1.0%</w:t>
            </w:r>
          </w:p>
        </w:tc>
        <w:tc>
          <w:tcPr>
            <w:tcW w:w="0" w:type="auto"/>
            <w:shd w:val="clear" w:color="auto" w:fill="FCF6D2"/>
            <w:tcMar>
              <w:top w:w="45" w:type="dxa"/>
              <w:left w:w="45" w:type="dxa"/>
              <w:bottom w:w="45" w:type="dxa"/>
              <w:right w:w="45" w:type="dxa"/>
            </w:tcMar>
            <w:hideMark/>
          </w:tcPr>
          <w:p w14:paraId="33743A2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11</w:t>
            </w:r>
          </w:p>
        </w:tc>
      </w:tr>
      <w:tr w:rsidR="00D741BE" w:rsidRPr="00D741BE" w14:paraId="6D795874"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4614AF0B"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Burglary</w:t>
            </w:r>
          </w:p>
        </w:tc>
        <w:tc>
          <w:tcPr>
            <w:tcW w:w="0" w:type="auto"/>
            <w:shd w:val="clear" w:color="auto" w:fill="FCF6D2"/>
            <w:tcMar>
              <w:top w:w="45" w:type="dxa"/>
              <w:left w:w="45" w:type="dxa"/>
              <w:bottom w:w="45" w:type="dxa"/>
              <w:right w:w="45" w:type="dxa"/>
            </w:tcMar>
            <w:hideMark/>
          </w:tcPr>
          <w:p w14:paraId="228C183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3,414</w:t>
            </w:r>
          </w:p>
        </w:tc>
        <w:tc>
          <w:tcPr>
            <w:tcW w:w="0" w:type="auto"/>
            <w:shd w:val="clear" w:color="auto" w:fill="FCF6D2"/>
            <w:tcMar>
              <w:top w:w="45" w:type="dxa"/>
              <w:left w:w="45" w:type="dxa"/>
              <w:bottom w:w="45" w:type="dxa"/>
              <w:right w:w="45" w:type="dxa"/>
            </w:tcMar>
            <w:hideMark/>
          </w:tcPr>
          <w:p w14:paraId="738A641A"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1.0%</w:t>
            </w:r>
          </w:p>
        </w:tc>
        <w:tc>
          <w:tcPr>
            <w:tcW w:w="0" w:type="auto"/>
            <w:shd w:val="clear" w:color="auto" w:fill="FCF6D2"/>
            <w:tcMar>
              <w:top w:w="45" w:type="dxa"/>
              <w:left w:w="45" w:type="dxa"/>
              <w:bottom w:w="45" w:type="dxa"/>
              <w:right w:w="45" w:type="dxa"/>
            </w:tcMar>
            <w:hideMark/>
          </w:tcPr>
          <w:p w14:paraId="1F2F1D07"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12</w:t>
            </w:r>
          </w:p>
        </w:tc>
      </w:tr>
      <w:tr w:rsidR="00D741BE" w:rsidRPr="00D741BE" w14:paraId="70F4115C"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63433BD8"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Marijuana - Sell</w:t>
            </w:r>
          </w:p>
        </w:tc>
        <w:tc>
          <w:tcPr>
            <w:tcW w:w="0" w:type="auto"/>
            <w:shd w:val="clear" w:color="auto" w:fill="FCF6D2"/>
            <w:tcMar>
              <w:top w:w="45" w:type="dxa"/>
              <w:left w:w="45" w:type="dxa"/>
              <w:bottom w:w="45" w:type="dxa"/>
              <w:right w:w="45" w:type="dxa"/>
            </w:tcMar>
            <w:hideMark/>
          </w:tcPr>
          <w:p w14:paraId="255BC847"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3,335</w:t>
            </w:r>
          </w:p>
        </w:tc>
        <w:tc>
          <w:tcPr>
            <w:tcW w:w="0" w:type="auto"/>
            <w:shd w:val="clear" w:color="auto" w:fill="FCF6D2"/>
            <w:tcMar>
              <w:top w:w="45" w:type="dxa"/>
              <w:left w:w="45" w:type="dxa"/>
              <w:bottom w:w="45" w:type="dxa"/>
              <w:right w:w="45" w:type="dxa"/>
            </w:tcMar>
            <w:hideMark/>
          </w:tcPr>
          <w:p w14:paraId="4D1F1A78"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1.0%</w:t>
            </w:r>
          </w:p>
        </w:tc>
        <w:tc>
          <w:tcPr>
            <w:tcW w:w="0" w:type="auto"/>
            <w:shd w:val="clear" w:color="auto" w:fill="FCF6D2"/>
            <w:tcMar>
              <w:top w:w="45" w:type="dxa"/>
              <w:left w:w="45" w:type="dxa"/>
              <w:bottom w:w="45" w:type="dxa"/>
              <w:right w:w="45" w:type="dxa"/>
            </w:tcMar>
            <w:hideMark/>
          </w:tcPr>
          <w:p w14:paraId="3D473CC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13</w:t>
            </w:r>
          </w:p>
        </w:tc>
      </w:tr>
      <w:tr w:rsidR="00D741BE" w:rsidRPr="00D741BE" w14:paraId="604DAC18"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5E4AD98D"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Public Order Crimes</w:t>
            </w:r>
          </w:p>
        </w:tc>
        <w:tc>
          <w:tcPr>
            <w:tcW w:w="0" w:type="auto"/>
            <w:shd w:val="clear" w:color="auto" w:fill="FCF6D2"/>
            <w:tcMar>
              <w:top w:w="45" w:type="dxa"/>
              <w:left w:w="45" w:type="dxa"/>
              <w:bottom w:w="45" w:type="dxa"/>
              <w:right w:w="45" w:type="dxa"/>
            </w:tcMar>
            <w:hideMark/>
          </w:tcPr>
          <w:p w14:paraId="7888DC0C"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3,129</w:t>
            </w:r>
          </w:p>
        </w:tc>
        <w:tc>
          <w:tcPr>
            <w:tcW w:w="0" w:type="auto"/>
            <w:shd w:val="clear" w:color="auto" w:fill="FCF6D2"/>
            <w:tcMar>
              <w:top w:w="45" w:type="dxa"/>
              <w:left w:w="45" w:type="dxa"/>
              <w:bottom w:w="45" w:type="dxa"/>
              <w:right w:w="45" w:type="dxa"/>
            </w:tcMar>
            <w:hideMark/>
          </w:tcPr>
          <w:p w14:paraId="356EB2C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0.9%</w:t>
            </w:r>
          </w:p>
        </w:tc>
        <w:tc>
          <w:tcPr>
            <w:tcW w:w="0" w:type="auto"/>
            <w:shd w:val="clear" w:color="auto" w:fill="FCF6D2"/>
            <w:tcMar>
              <w:top w:w="45" w:type="dxa"/>
              <w:left w:w="45" w:type="dxa"/>
              <w:bottom w:w="45" w:type="dxa"/>
              <w:right w:w="45" w:type="dxa"/>
            </w:tcMar>
            <w:hideMark/>
          </w:tcPr>
          <w:p w14:paraId="72CDE817"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14</w:t>
            </w:r>
          </w:p>
        </w:tc>
      </w:tr>
      <w:tr w:rsidR="00D741BE" w:rsidRPr="00D741BE" w14:paraId="2EADED30"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1ED00ABC"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Drug Possession</w:t>
            </w:r>
          </w:p>
        </w:tc>
        <w:tc>
          <w:tcPr>
            <w:tcW w:w="0" w:type="auto"/>
            <w:shd w:val="clear" w:color="auto" w:fill="FCF6D2"/>
            <w:tcMar>
              <w:top w:w="45" w:type="dxa"/>
              <w:left w:w="45" w:type="dxa"/>
              <w:bottom w:w="45" w:type="dxa"/>
              <w:right w:w="45" w:type="dxa"/>
            </w:tcMar>
            <w:hideMark/>
          </w:tcPr>
          <w:p w14:paraId="2E3884F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2,773</w:t>
            </w:r>
          </w:p>
        </w:tc>
        <w:tc>
          <w:tcPr>
            <w:tcW w:w="0" w:type="auto"/>
            <w:shd w:val="clear" w:color="auto" w:fill="FCF6D2"/>
            <w:tcMar>
              <w:top w:w="45" w:type="dxa"/>
              <w:left w:w="45" w:type="dxa"/>
              <w:bottom w:w="45" w:type="dxa"/>
              <w:right w:w="45" w:type="dxa"/>
            </w:tcMar>
            <w:hideMark/>
          </w:tcPr>
          <w:p w14:paraId="4952F50A"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0.8%</w:t>
            </w:r>
          </w:p>
        </w:tc>
        <w:tc>
          <w:tcPr>
            <w:tcW w:w="0" w:type="auto"/>
            <w:shd w:val="clear" w:color="auto" w:fill="FCF6D2"/>
            <w:tcMar>
              <w:top w:w="45" w:type="dxa"/>
              <w:left w:w="45" w:type="dxa"/>
              <w:bottom w:w="45" w:type="dxa"/>
              <w:right w:w="45" w:type="dxa"/>
            </w:tcMar>
            <w:hideMark/>
          </w:tcPr>
          <w:p w14:paraId="0E8F68A3"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15</w:t>
            </w:r>
          </w:p>
        </w:tc>
      </w:tr>
      <w:tr w:rsidR="00D741BE" w:rsidRPr="00D741BE" w14:paraId="5C840B54"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61711836"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Disorderly Conduct</w:t>
            </w:r>
          </w:p>
        </w:tc>
        <w:tc>
          <w:tcPr>
            <w:tcW w:w="0" w:type="auto"/>
            <w:shd w:val="clear" w:color="auto" w:fill="FCF6D2"/>
            <w:tcMar>
              <w:top w:w="45" w:type="dxa"/>
              <w:left w:w="45" w:type="dxa"/>
              <w:bottom w:w="45" w:type="dxa"/>
              <w:right w:w="45" w:type="dxa"/>
            </w:tcMar>
            <w:hideMark/>
          </w:tcPr>
          <w:p w14:paraId="4ABABE49"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2,758</w:t>
            </w:r>
          </w:p>
        </w:tc>
        <w:tc>
          <w:tcPr>
            <w:tcW w:w="0" w:type="auto"/>
            <w:shd w:val="clear" w:color="auto" w:fill="FCF6D2"/>
            <w:tcMar>
              <w:top w:w="45" w:type="dxa"/>
              <w:left w:w="45" w:type="dxa"/>
              <w:bottom w:w="45" w:type="dxa"/>
              <w:right w:w="45" w:type="dxa"/>
            </w:tcMar>
            <w:hideMark/>
          </w:tcPr>
          <w:p w14:paraId="7922DB38"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0.8%</w:t>
            </w:r>
          </w:p>
        </w:tc>
        <w:tc>
          <w:tcPr>
            <w:tcW w:w="0" w:type="auto"/>
            <w:shd w:val="clear" w:color="auto" w:fill="FCF6D2"/>
            <w:tcMar>
              <w:top w:w="45" w:type="dxa"/>
              <w:left w:w="45" w:type="dxa"/>
              <w:bottom w:w="45" w:type="dxa"/>
              <w:right w:w="45" w:type="dxa"/>
            </w:tcMar>
            <w:hideMark/>
          </w:tcPr>
          <w:p w14:paraId="4940F857"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16</w:t>
            </w:r>
          </w:p>
        </w:tc>
      </w:tr>
      <w:tr w:rsidR="00D741BE" w:rsidRPr="00D741BE" w14:paraId="3E5EDDB6"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50B37AAB"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Drug Trafficking</w:t>
            </w:r>
          </w:p>
        </w:tc>
        <w:tc>
          <w:tcPr>
            <w:tcW w:w="0" w:type="auto"/>
            <w:shd w:val="clear" w:color="auto" w:fill="FCF6D2"/>
            <w:tcMar>
              <w:top w:w="45" w:type="dxa"/>
              <w:left w:w="45" w:type="dxa"/>
              <w:bottom w:w="45" w:type="dxa"/>
              <w:right w:w="45" w:type="dxa"/>
            </w:tcMar>
            <w:hideMark/>
          </w:tcPr>
          <w:p w14:paraId="1075D435"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2,109</w:t>
            </w:r>
          </w:p>
        </w:tc>
        <w:tc>
          <w:tcPr>
            <w:tcW w:w="0" w:type="auto"/>
            <w:shd w:val="clear" w:color="auto" w:fill="FCF6D2"/>
            <w:tcMar>
              <w:top w:w="45" w:type="dxa"/>
              <w:left w:w="45" w:type="dxa"/>
              <w:bottom w:w="45" w:type="dxa"/>
              <w:right w:w="45" w:type="dxa"/>
            </w:tcMar>
            <w:hideMark/>
          </w:tcPr>
          <w:p w14:paraId="135A9FD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0.6%</w:t>
            </w:r>
          </w:p>
        </w:tc>
        <w:tc>
          <w:tcPr>
            <w:tcW w:w="0" w:type="auto"/>
            <w:shd w:val="clear" w:color="auto" w:fill="FCF6D2"/>
            <w:tcMar>
              <w:top w:w="45" w:type="dxa"/>
              <w:left w:w="45" w:type="dxa"/>
              <w:bottom w:w="45" w:type="dxa"/>
              <w:right w:w="45" w:type="dxa"/>
            </w:tcMar>
            <w:hideMark/>
          </w:tcPr>
          <w:p w14:paraId="16B1CF00"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17</w:t>
            </w:r>
          </w:p>
        </w:tc>
      </w:tr>
      <w:tr w:rsidR="00D741BE" w:rsidRPr="00D741BE" w14:paraId="56A857E5"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586C571F"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Sex Assault</w:t>
            </w:r>
          </w:p>
        </w:tc>
        <w:tc>
          <w:tcPr>
            <w:tcW w:w="0" w:type="auto"/>
            <w:shd w:val="clear" w:color="auto" w:fill="FCF6D2"/>
            <w:tcMar>
              <w:top w:w="45" w:type="dxa"/>
              <w:left w:w="45" w:type="dxa"/>
              <w:bottom w:w="45" w:type="dxa"/>
              <w:right w:w="45" w:type="dxa"/>
            </w:tcMar>
            <w:hideMark/>
          </w:tcPr>
          <w:p w14:paraId="4F572F74"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2,100</w:t>
            </w:r>
          </w:p>
        </w:tc>
        <w:tc>
          <w:tcPr>
            <w:tcW w:w="0" w:type="auto"/>
            <w:shd w:val="clear" w:color="auto" w:fill="FCF6D2"/>
            <w:tcMar>
              <w:top w:w="45" w:type="dxa"/>
              <w:left w:w="45" w:type="dxa"/>
              <w:bottom w:w="45" w:type="dxa"/>
              <w:right w:w="45" w:type="dxa"/>
            </w:tcMar>
            <w:hideMark/>
          </w:tcPr>
          <w:p w14:paraId="5EC46442"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0.6%</w:t>
            </w:r>
          </w:p>
        </w:tc>
        <w:tc>
          <w:tcPr>
            <w:tcW w:w="0" w:type="auto"/>
            <w:shd w:val="clear" w:color="auto" w:fill="FCF6D2"/>
            <w:tcMar>
              <w:top w:w="45" w:type="dxa"/>
              <w:left w:w="45" w:type="dxa"/>
              <w:bottom w:w="45" w:type="dxa"/>
              <w:right w:w="45" w:type="dxa"/>
            </w:tcMar>
            <w:hideMark/>
          </w:tcPr>
          <w:p w14:paraId="2F47202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18</w:t>
            </w:r>
          </w:p>
        </w:tc>
      </w:tr>
      <w:tr w:rsidR="00D741BE" w:rsidRPr="00D741BE" w14:paraId="2A4DF33C"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1340D817"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Amphetamine - Possession</w:t>
            </w:r>
          </w:p>
        </w:tc>
        <w:tc>
          <w:tcPr>
            <w:tcW w:w="0" w:type="auto"/>
            <w:shd w:val="clear" w:color="auto" w:fill="FCF6D2"/>
            <w:tcMar>
              <w:top w:w="45" w:type="dxa"/>
              <w:left w:w="45" w:type="dxa"/>
              <w:bottom w:w="45" w:type="dxa"/>
              <w:right w:w="45" w:type="dxa"/>
            </w:tcMar>
            <w:hideMark/>
          </w:tcPr>
          <w:p w14:paraId="39AEB369"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2,008</w:t>
            </w:r>
          </w:p>
        </w:tc>
        <w:tc>
          <w:tcPr>
            <w:tcW w:w="0" w:type="auto"/>
            <w:shd w:val="clear" w:color="auto" w:fill="FCF6D2"/>
            <w:tcMar>
              <w:top w:w="45" w:type="dxa"/>
              <w:left w:w="45" w:type="dxa"/>
              <w:bottom w:w="45" w:type="dxa"/>
              <w:right w:w="45" w:type="dxa"/>
            </w:tcMar>
            <w:hideMark/>
          </w:tcPr>
          <w:p w14:paraId="7E25A0CD"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0.6%</w:t>
            </w:r>
          </w:p>
        </w:tc>
        <w:tc>
          <w:tcPr>
            <w:tcW w:w="0" w:type="auto"/>
            <w:shd w:val="clear" w:color="auto" w:fill="FCF6D2"/>
            <w:tcMar>
              <w:top w:w="45" w:type="dxa"/>
              <w:left w:w="45" w:type="dxa"/>
              <w:bottom w:w="45" w:type="dxa"/>
              <w:right w:w="45" w:type="dxa"/>
            </w:tcMar>
            <w:hideMark/>
          </w:tcPr>
          <w:p w14:paraId="0496DAA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19</w:t>
            </w:r>
          </w:p>
        </w:tc>
      </w:tr>
      <w:tr w:rsidR="00D741BE" w:rsidRPr="00D741BE" w14:paraId="64FD880F"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0B7906BD"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Domestic Violence</w:t>
            </w:r>
          </w:p>
        </w:tc>
        <w:tc>
          <w:tcPr>
            <w:tcW w:w="0" w:type="auto"/>
            <w:shd w:val="clear" w:color="auto" w:fill="FCF6D2"/>
            <w:tcMar>
              <w:top w:w="45" w:type="dxa"/>
              <w:left w:w="45" w:type="dxa"/>
              <w:bottom w:w="45" w:type="dxa"/>
              <w:right w:w="45" w:type="dxa"/>
            </w:tcMar>
            <w:hideMark/>
          </w:tcPr>
          <w:p w14:paraId="3D042E24"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1,940</w:t>
            </w:r>
          </w:p>
        </w:tc>
        <w:tc>
          <w:tcPr>
            <w:tcW w:w="0" w:type="auto"/>
            <w:shd w:val="clear" w:color="auto" w:fill="FCF6D2"/>
            <w:tcMar>
              <w:top w:w="45" w:type="dxa"/>
              <w:left w:w="45" w:type="dxa"/>
              <w:bottom w:w="45" w:type="dxa"/>
              <w:right w:w="45" w:type="dxa"/>
            </w:tcMar>
            <w:hideMark/>
          </w:tcPr>
          <w:p w14:paraId="646AFEB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0.6%</w:t>
            </w:r>
          </w:p>
        </w:tc>
        <w:tc>
          <w:tcPr>
            <w:tcW w:w="0" w:type="auto"/>
            <w:shd w:val="clear" w:color="auto" w:fill="FCF6D2"/>
            <w:tcMar>
              <w:top w:w="45" w:type="dxa"/>
              <w:left w:w="45" w:type="dxa"/>
              <w:bottom w:w="45" w:type="dxa"/>
              <w:right w:w="45" w:type="dxa"/>
            </w:tcMar>
            <w:hideMark/>
          </w:tcPr>
          <w:p w14:paraId="77BB3C19"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20</w:t>
            </w:r>
          </w:p>
        </w:tc>
      </w:tr>
      <w:tr w:rsidR="00D741BE" w:rsidRPr="00D741BE" w14:paraId="765D1A63"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6D59A6C0"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Battery</w:t>
            </w:r>
          </w:p>
        </w:tc>
        <w:tc>
          <w:tcPr>
            <w:tcW w:w="0" w:type="auto"/>
            <w:shd w:val="clear" w:color="auto" w:fill="FCF6D2"/>
            <w:tcMar>
              <w:top w:w="45" w:type="dxa"/>
              <w:left w:w="45" w:type="dxa"/>
              <w:bottom w:w="45" w:type="dxa"/>
              <w:right w:w="45" w:type="dxa"/>
            </w:tcMar>
            <w:hideMark/>
          </w:tcPr>
          <w:p w14:paraId="235F04E5"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1,919</w:t>
            </w:r>
          </w:p>
        </w:tc>
        <w:tc>
          <w:tcPr>
            <w:tcW w:w="0" w:type="auto"/>
            <w:shd w:val="clear" w:color="auto" w:fill="FCF6D2"/>
            <w:tcMar>
              <w:top w:w="45" w:type="dxa"/>
              <w:left w:w="45" w:type="dxa"/>
              <w:bottom w:w="45" w:type="dxa"/>
              <w:right w:w="45" w:type="dxa"/>
            </w:tcMar>
            <w:hideMark/>
          </w:tcPr>
          <w:p w14:paraId="0F4B8376"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0.6%</w:t>
            </w:r>
          </w:p>
        </w:tc>
        <w:tc>
          <w:tcPr>
            <w:tcW w:w="0" w:type="auto"/>
            <w:shd w:val="clear" w:color="auto" w:fill="FCF6D2"/>
            <w:tcMar>
              <w:top w:w="45" w:type="dxa"/>
              <w:left w:w="45" w:type="dxa"/>
              <w:bottom w:w="45" w:type="dxa"/>
              <w:right w:w="45" w:type="dxa"/>
            </w:tcMar>
            <w:hideMark/>
          </w:tcPr>
          <w:p w14:paraId="5EFEF72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21</w:t>
            </w:r>
          </w:p>
        </w:tc>
      </w:tr>
      <w:tr w:rsidR="00D741BE" w:rsidRPr="00D741BE" w14:paraId="44F58740"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6CCA4C23"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Amphetamine - Sell</w:t>
            </w:r>
          </w:p>
        </w:tc>
        <w:tc>
          <w:tcPr>
            <w:tcW w:w="0" w:type="auto"/>
            <w:shd w:val="clear" w:color="auto" w:fill="FCF6D2"/>
            <w:tcMar>
              <w:top w:w="45" w:type="dxa"/>
              <w:left w:w="45" w:type="dxa"/>
              <w:bottom w:w="45" w:type="dxa"/>
              <w:right w:w="45" w:type="dxa"/>
            </w:tcMar>
            <w:hideMark/>
          </w:tcPr>
          <w:p w14:paraId="27D7C471"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1,826</w:t>
            </w:r>
          </w:p>
        </w:tc>
        <w:tc>
          <w:tcPr>
            <w:tcW w:w="0" w:type="auto"/>
            <w:shd w:val="clear" w:color="auto" w:fill="FCF6D2"/>
            <w:tcMar>
              <w:top w:w="45" w:type="dxa"/>
              <w:left w:w="45" w:type="dxa"/>
              <w:bottom w:w="45" w:type="dxa"/>
              <w:right w:w="45" w:type="dxa"/>
            </w:tcMar>
            <w:hideMark/>
          </w:tcPr>
          <w:p w14:paraId="1B97E1EB"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0.5%</w:t>
            </w:r>
          </w:p>
        </w:tc>
        <w:tc>
          <w:tcPr>
            <w:tcW w:w="0" w:type="auto"/>
            <w:shd w:val="clear" w:color="auto" w:fill="FCF6D2"/>
            <w:tcMar>
              <w:top w:w="45" w:type="dxa"/>
              <w:left w:w="45" w:type="dxa"/>
              <w:bottom w:w="45" w:type="dxa"/>
              <w:right w:w="45" w:type="dxa"/>
            </w:tcMar>
            <w:hideMark/>
          </w:tcPr>
          <w:p w14:paraId="2CC2B70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22</w:t>
            </w:r>
          </w:p>
        </w:tc>
      </w:tr>
      <w:tr w:rsidR="00D741BE" w:rsidRPr="00D741BE" w14:paraId="6C671BDD"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1A52830F"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Trespassing</w:t>
            </w:r>
          </w:p>
        </w:tc>
        <w:tc>
          <w:tcPr>
            <w:tcW w:w="0" w:type="auto"/>
            <w:shd w:val="clear" w:color="auto" w:fill="FCF6D2"/>
            <w:tcMar>
              <w:top w:w="45" w:type="dxa"/>
              <w:left w:w="45" w:type="dxa"/>
              <w:bottom w:w="45" w:type="dxa"/>
              <w:right w:w="45" w:type="dxa"/>
            </w:tcMar>
            <w:hideMark/>
          </w:tcPr>
          <w:p w14:paraId="6A7AA3F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1,647</w:t>
            </w:r>
          </w:p>
        </w:tc>
        <w:tc>
          <w:tcPr>
            <w:tcW w:w="0" w:type="auto"/>
            <w:shd w:val="clear" w:color="auto" w:fill="FCF6D2"/>
            <w:tcMar>
              <w:top w:w="45" w:type="dxa"/>
              <w:left w:w="45" w:type="dxa"/>
              <w:bottom w:w="45" w:type="dxa"/>
              <w:right w:w="45" w:type="dxa"/>
            </w:tcMar>
            <w:hideMark/>
          </w:tcPr>
          <w:p w14:paraId="7DF26DC3"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0.5%</w:t>
            </w:r>
          </w:p>
        </w:tc>
        <w:tc>
          <w:tcPr>
            <w:tcW w:w="0" w:type="auto"/>
            <w:shd w:val="clear" w:color="auto" w:fill="FCF6D2"/>
            <w:tcMar>
              <w:top w:w="45" w:type="dxa"/>
              <w:left w:w="45" w:type="dxa"/>
              <w:bottom w:w="45" w:type="dxa"/>
              <w:right w:w="45" w:type="dxa"/>
            </w:tcMar>
            <w:hideMark/>
          </w:tcPr>
          <w:p w14:paraId="5869C2E8"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23</w:t>
            </w:r>
          </w:p>
        </w:tc>
      </w:tr>
      <w:tr w:rsidR="00D741BE" w:rsidRPr="00D741BE" w14:paraId="568F1F1A"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4AA4E878"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Fraud</w:t>
            </w:r>
          </w:p>
        </w:tc>
        <w:tc>
          <w:tcPr>
            <w:tcW w:w="0" w:type="auto"/>
            <w:shd w:val="clear" w:color="auto" w:fill="FCF6D2"/>
            <w:tcMar>
              <w:top w:w="45" w:type="dxa"/>
              <w:left w:w="45" w:type="dxa"/>
              <w:bottom w:w="45" w:type="dxa"/>
              <w:right w:w="45" w:type="dxa"/>
            </w:tcMar>
            <w:hideMark/>
          </w:tcPr>
          <w:p w14:paraId="33770EB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1,599</w:t>
            </w:r>
          </w:p>
        </w:tc>
        <w:tc>
          <w:tcPr>
            <w:tcW w:w="0" w:type="auto"/>
            <w:shd w:val="clear" w:color="auto" w:fill="FCF6D2"/>
            <w:tcMar>
              <w:top w:w="45" w:type="dxa"/>
              <w:left w:w="45" w:type="dxa"/>
              <w:bottom w:w="45" w:type="dxa"/>
              <w:right w:w="45" w:type="dxa"/>
            </w:tcMar>
            <w:hideMark/>
          </w:tcPr>
          <w:p w14:paraId="797D9657"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0.5%</w:t>
            </w:r>
          </w:p>
        </w:tc>
        <w:tc>
          <w:tcPr>
            <w:tcW w:w="0" w:type="auto"/>
            <w:shd w:val="clear" w:color="auto" w:fill="FCF6D2"/>
            <w:tcMar>
              <w:top w:w="45" w:type="dxa"/>
              <w:left w:w="45" w:type="dxa"/>
              <w:bottom w:w="45" w:type="dxa"/>
              <w:right w:w="45" w:type="dxa"/>
            </w:tcMar>
            <w:hideMark/>
          </w:tcPr>
          <w:p w14:paraId="61FD8974"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24</w:t>
            </w:r>
          </w:p>
        </w:tc>
      </w:tr>
      <w:tr w:rsidR="00D741BE" w:rsidRPr="00D741BE" w14:paraId="1AA741C5" w14:textId="77777777" w:rsidTr="00D741BE">
        <w:trPr>
          <w:tblCellSpacing w:w="0" w:type="dxa"/>
          <w:jc w:val="center"/>
        </w:trPr>
        <w:tc>
          <w:tcPr>
            <w:tcW w:w="0" w:type="auto"/>
            <w:shd w:val="clear" w:color="auto" w:fill="DBECDA"/>
            <w:tcMar>
              <w:top w:w="45" w:type="dxa"/>
              <w:left w:w="45" w:type="dxa"/>
              <w:bottom w:w="45" w:type="dxa"/>
              <w:right w:w="45" w:type="dxa"/>
            </w:tcMar>
            <w:hideMark/>
          </w:tcPr>
          <w:p w14:paraId="4BA8FADE" w14:textId="77777777" w:rsidR="00D741BE" w:rsidRPr="00D741BE" w:rsidRDefault="00D741BE" w:rsidP="00D741BE">
            <w:pPr>
              <w:spacing w:after="0" w:line="240" w:lineRule="auto"/>
              <w:rPr>
                <w:rFonts w:ascii="Arial" w:eastAsia="Times New Roman" w:hAnsi="Arial" w:cs="Arial"/>
                <w:b/>
                <w:bCs/>
                <w:color w:val="3D708F"/>
                <w:sz w:val="16"/>
                <w:szCs w:val="16"/>
              </w:rPr>
            </w:pPr>
            <w:r w:rsidRPr="00D741BE">
              <w:rPr>
                <w:rFonts w:ascii="Arial" w:eastAsia="Times New Roman" w:hAnsi="Arial" w:cs="Arial"/>
                <w:b/>
                <w:bCs/>
                <w:color w:val="3D708F"/>
                <w:sz w:val="16"/>
                <w:szCs w:val="16"/>
              </w:rPr>
              <w:t>Forgery</w:t>
            </w:r>
          </w:p>
        </w:tc>
        <w:tc>
          <w:tcPr>
            <w:tcW w:w="0" w:type="auto"/>
            <w:shd w:val="clear" w:color="auto" w:fill="FCF6D2"/>
            <w:tcMar>
              <w:top w:w="45" w:type="dxa"/>
              <w:left w:w="45" w:type="dxa"/>
              <w:bottom w:w="45" w:type="dxa"/>
              <w:right w:w="45" w:type="dxa"/>
            </w:tcMar>
            <w:hideMark/>
          </w:tcPr>
          <w:p w14:paraId="2CACE8FF"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1,539</w:t>
            </w:r>
          </w:p>
        </w:tc>
        <w:tc>
          <w:tcPr>
            <w:tcW w:w="0" w:type="auto"/>
            <w:shd w:val="clear" w:color="auto" w:fill="FCF6D2"/>
            <w:tcMar>
              <w:top w:w="45" w:type="dxa"/>
              <w:left w:w="45" w:type="dxa"/>
              <w:bottom w:w="45" w:type="dxa"/>
              <w:right w:w="45" w:type="dxa"/>
            </w:tcMar>
            <w:hideMark/>
          </w:tcPr>
          <w:p w14:paraId="00734A05"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0.4%</w:t>
            </w:r>
          </w:p>
        </w:tc>
        <w:tc>
          <w:tcPr>
            <w:tcW w:w="0" w:type="auto"/>
            <w:shd w:val="clear" w:color="auto" w:fill="FCF6D2"/>
            <w:tcMar>
              <w:top w:w="45" w:type="dxa"/>
              <w:left w:w="45" w:type="dxa"/>
              <w:bottom w:w="45" w:type="dxa"/>
              <w:right w:w="45" w:type="dxa"/>
            </w:tcMar>
            <w:hideMark/>
          </w:tcPr>
          <w:p w14:paraId="61EB4AF3" w14:textId="77777777" w:rsidR="00D741BE" w:rsidRPr="00D741BE" w:rsidRDefault="00D741BE" w:rsidP="00D741BE">
            <w:pPr>
              <w:spacing w:after="0" w:line="240" w:lineRule="auto"/>
              <w:jc w:val="right"/>
              <w:rPr>
                <w:rFonts w:ascii="Arial" w:eastAsia="Times New Roman" w:hAnsi="Arial" w:cs="Arial"/>
                <w:b/>
                <w:bCs/>
                <w:color w:val="67879C"/>
                <w:sz w:val="16"/>
                <w:szCs w:val="16"/>
              </w:rPr>
            </w:pPr>
            <w:r w:rsidRPr="00D741BE">
              <w:rPr>
                <w:rFonts w:ascii="Arial" w:eastAsia="Times New Roman" w:hAnsi="Arial" w:cs="Arial"/>
                <w:b/>
                <w:bCs/>
                <w:color w:val="67879C"/>
                <w:sz w:val="16"/>
                <w:szCs w:val="16"/>
              </w:rPr>
              <w:t>25</w:t>
            </w:r>
          </w:p>
        </w:tc>
      </w:tr>
    </w:tbl>
    <w:p w14:paraId="71F7549B" w14:textId="77777777" w:rsidR="004339ED" w:rsidRDefault="004339ED" w:rsidP="00A80944"/>
    <w:p w14:paraId="18375161" w14:textId="46DFD6EB" w:rsidR="00D208DF" w:rsidRDefault="00D208DF" w:rsidP="00D208DF">
      <w:pPr>
        <w:rPr>
          <w:b/>
          <w:sz w:val="24"/>
          <w:szCs w:val="24"/>
        </w:rPr>
      </w:pPr>
      <w:r>
        <w:rPr>
          <w:b/>
          <w:sz w:val="24"/>
          <w:szCs w:val="24"/>
        </w:rPr>
        <w:t xml:space="preserve">Appendix </w:t>
      </w:r>
      <w:r>
        <w:rPr>
          <w:b/>
          <w:sz w:val="24"/>
          <w:szCs w:val="24"/>
        </w:rPr>
        <w:t>3</w:t>
      </w:r>
      <w:r>
        <w:rPr>
          <w:b/>
          <w:sz w:val="24"/>
          <w:szCs w:val="24"/>
        </w:rPr>
        <w:t>: TRAC Immigration Asylum-Seeker Trends Chart</w:t>
      </w:r>
      <w:r>
        <w:rPr>
          <w:rStyle w:val="FootnoteReference"/>
          <w:b/>
          <w:sz w:val="24"/>
          <w:szCs w:val="24"/>
        </w:rPr>
        <w:footnoteReference w:id="15"/>
      </w:r>
    </w:p>
    <w:p w14:paraId="1D39C271" w14:textId="77777777" w:rsidR="00D208DF" w:rsidRDefault="00D208DF" w:rsidP="00D208DF">
      <w:pPr>
        <w:rPr>
          <w:noProof/>
        </w:rPr>
      </w:pPr>
      <w:r>
        <w:rPr>
          <w:noProof/>
        </w:rPr>
        <w:lastRenderedPageBreak/>
        <w:drawing>
          <wp:anchor distT="0" distB="0" distL="114300" distR="114300" simplePos="0" relativeHeight="251659264" behindDoc="0" locked="0" layoutInCell="1" allowOverlap="1" wp14:anchorId="77BF7B0A" wp14:editId="07E021CD">
            <wp:simplePos x="0" y="0"/>
            <wp:positionH relativeFrom="column">
              <wp:posOffset>1271905</wp:posOffset>
            </wp:positionH>
            <wp:positionV relativeFrom="paragraph">
              <wp:posOffset>5715</wp:posOffset>
            </wp:positionV>
            <wp:extent cx="3901440" cy="4181475"/>
            <wp:effectExtent l="0" t="0" r="3810" b="9525"/>
            <wp:wrapSquare wrapText="bothSides"/>
            <wp:docPr id="6" name="Picture 6" descr="https://trac.syr.edu/immigration/reports/448/include/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c.syr.edu/immigration/reports/448/include/fig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53879" w14:textId="77777777" w:rsidR="00D208DF" w:rsidRPr="001E392A" w:rsidRDefault="00D208DF" w:rsidP="00D208DF">
      <w:pPr>
        <w:rPr>
          <w:sz w:val="24"/>
          <w:szCs w:val="24"/>
        </w:rPr>
      </w:pPr>
    </w:p>
    <w:p w14:paraId="33B4687A" w14:textId="77777777" w:rsidR="00D208DF" w:rsidRPr="001E392A" w:rsidRDefault="00D208DF" w:rsidP="00D208DF">
      <w:pPr>
        <w:rPr>
          <w:sz w:val="24"/>
          <w:szCs w:val="24"/>
        </w:rPr>
      </w:pPr>
    </w:p>
    <w:p w14:paraId="2B18E717" w14:textId="77777777" w:rsidR="00D208DF" w:rsidRPr="001E392A" w:rsidRDefault="00D208DF" w:rsidP="00D208DF">
      <w:pPr>
        <w:rPr>
          <w:sz w:val="24"/>
          <w:szCs w:val="24"/>
        </w:rPr>
      </w:pPr>
    </w:p>
    <w:p w14:paraId="75661DDE" w14:textId="77777777" w:rsidR="00D208DF" w:rsidRPr="001E392A" w:rsidRDefault="00D208DF" w:rsidP="00D208DF">
      <w:pPr>
        <w:rPr>
          <w:sz w:val="24"/>
          <w:szCs w:val="24"/>
        </w:rPr>
      </w:pPr>
    </w:p>
    <w:p w14:paraId="6994B68C" w14:textId="77777777" w:rsidR="00D208DF" w:rsidRDefault="00D208DF" w:rsidP="00D208DF">
      <w:pPr>
        <w:rPr>
          <w:noProof/>
        </w:rPr>
      </w:pPr>
    </w:p>
    <w:p w14:paraId="092BFE17" w14:textId="77777777" w:rsidR="00D208DF" w:rsidRPr="004C4525" w:rsidRDefault="00D208DF" w:rsidP="00D208DF">
      <w:pPr>
        <w:rPr>
          <w:sz w:val="24"/>
          <w:szCs w:val="24"/>
        </w:rPr>
      </w:pPr>
      <w:r>
        <w:rPr>
          <w:b/>
          <w:sz w:val="24"/>
          <w:szCs w:val="24"/>
        </w:rPr>
        <w:br w:type="textWrapping" w:clear="all"/>
      </w:r>
      <w:r>
        <w:rPr>
          <w:sz w:val="24"/>
          <w:szCs w:val="24"/>
        </w:rPr>
        <w:t xml:space="preserve">This chart from TRAC shows the percentage increase in asylum cases in the U.S. from the period fiscal year 2005 to 2010 to the period spanning fiscal year 2011 to 2016. Although TRAC claims that the overall volume of asylum cases dropped 18% during this period, asylum cases from Mexico, Guatemala, Honduras and EL Salvador are in the top seven that increased during this time period. This is generally consistent with my findings in Question 2.  </w:t>
      </w:r>
    </w:p>
    <w:p w14:paraId="3A2AD4ED" w14:textId="77777777" w:rsidR="00D208DF" w:rsidRDefault="00D208DF" w:rsidP="002746C0">
      <w:pPr>
        <w:rPr>
          <w:b/>
          <w:sz w:val="24"/>
          <w:szCs w:val="24"/>
        </w:rPr>
      </w:pPr>
    </w:p>
    <w:p w14:paraId="60A1483B" w14:textId="74EF3C63" w:rsidR="00A80944" w:rsidRPr="00A80944" w:rsidRDefault="007121A9" w:rsidP="002746C0">
      <w:r>
        <w:rPr>
          <w:b/>
          <w:sz w:val="24"/>
          <w:szCs w:val="24"/>
        </w:rPr>
        <w:t xml:space="preserve">Appendix </w:t>
      </w:r>
      <w:r w:rsidR="00D208DF">
        <w:rPr>
          <w:b/>
          <w:sz w:val="24"/>
          <w:szCs w:val="24"/>
        </w:rPr>
        <w:t>4</w:t>
      </w:r>
      <w:r>
        <w:rPr>
          <w:b/>
          <w:sz w:val="24"/>
          <w:szCs w:val="24"/>
        </w:rPr>
        <w:t>:</w:t>
      </w:r>
      <w:r w:rsidR="006B354C">
        <w:rPr>
          <w:b/>
          <w:sz w:val="24"/>
          <w:szCs w:val="24"/>
        </w:rPr>
        <w:t xml:space="preserve"> </w:t>
      </w:r>
      <w:r w:rsidR="009E613C">
        <w:rPr>
          <w:b/>
          <w:sz w:val="24"/>
          <w:szCs w:val="24"/>
        </w:rPr>
        <w:t>Border States Map</w:t>
      </w:r>
    </w:p>
    <w:p w14:paraId="2E3C0548" w14:textId="36A790FA" w:rsidR="00A80944" w:rsidRDefault="009E613C" w:rsidP="00A80944">
      <w:r>
        <w:rPr>
          <w:noProof/>
        </w:rPr>
        <w:drawing>
          <wp:inline distT="0" distB="0" distL="0" distR="0" wp14:anchorId="6D427C48" wp14:editId="512940CB">
            <wp:extent cx="5276571" cy="2694940"/>
            <wp:effectExtent l="0" t="0" r="63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177.gif"/>
                    <pic:cNvPicPr/>
                  </pic:nvPicPr>
                  <pic:blipFill rotWithShape="1">
                    <a:blip r:embed="rId12">
                      <a:extLst>
                        <a:ext uri="{28A0092B-C50C-407E-A947-70E740481C1C}">
                          <a14:useLocalDpi xmlns:a14="http://schemas.microsoft.com/office/drawing/2010/main" val="0"/>
                        </a:ext>
                      </a:extLst>
                    </a:blip>
                    <a:srcRect l="6921" t="18885" r="3918" b="20398"/>
                    <a:stretch/>
                  </pic:blipFill>
                  <pic:spPr bwMode="auto">
                    <a:xfrm>
                      <a:off x="0" y="0"/>
                      <a:ext cx="5309024" cy="2711515"/>
                    </a:xfrm>
                    <a:prstGeom prst="rect">
                      <a:avLst/>
                    </a:prstGeom>
                    <a:ln>
                      <a:noFill/>
                    </a:ln>
                    <a:extLst>
                      <a:ext uri="{53640926-AAD7-44D8-BBD7-CCE9431645EC}">
                        <a14:shadowObscured xmlns:a14="http://schemas.microsoft.com/office/drawing/2010/main"/>
                      </a:ext>
                    </a:extLst>
                  </pic:spPr>
                </pic:pic>
              </a:graphicData>
            </a:graphic>
          </wp:inline>
        </w:drawing>
      </w:r>
    </w:p>
    <w:p w14:paraId="55718981" w14:textId="5D0316AD" w:rsidR="009E613C" w:rsidRPr="00EC1C35" w:rsidRDefault="009E613C" w:rsidP="009E613C">
      <w:pPr>
        <w:jc w:val="center"/>
        <w:rPr>
          <w:b/>
          <w:color w:val="2F5496" w:themeColor="accent1" w:themeShade="BF"/>
        </w:rPr>
      </w:pPr>
      <w:r w:rsidRPr="00EC1C35">
        <w:rPr>
          <w:b/>
          <w:color w:val="2F5496" w:themeColor="accent1" w:themeShade="BF"/>
        </w:rPr>
        <w:lastRenderedPageBreak/>
        <w:t>Green: Shares land border</w:t>
      </w:r>
    </w:p>
    <w:p w14:paraId="5A89CE47" w14:textId="0AB961FE" w:rsidR="009E613C" w:rsidRDefault="009E613C" w:rsidP="009E613C">
      <w:pPr>
        <w:jc w:val="center"/>
        <w:rPr>
          <w:b/>
          <w:color w:val="2F5496" w:themeColor="accent1" w:themeShade="BF"/>
        </w:rPr>
      </w:pPr>
      <w:r w:rsidRPr="00EC1C35">
        <w:rPr>
          <w:b/>
          <w:color w:val="2F5496" w:themeColor="accent1" w:themeShade="BF"/>
        </w:rPr>
        <w:t>Blue: Shares water border only</w:t>
      </w:r>
      <w:r w:rsidR="00EC1C35" w:rsidRPr="00EC1C35">
        <w:rPr>
          <w:b/>
          <w:color w:val="2F5496" w:themeColor="accent1" w:themeShade="BF"/>
        </w:rPr>
        <w:t xml:space="preserve"> (excluded from analysis)</w:t>
      </w:r>
    </w:p>
    <w:p w14:paraId="04F10F11" w14:textId="2EDBB5B7" w:rsidR="001E0233" w:rsidRDefault="001E0233" w:rsidP="009E613C">
      <w:pPr>
        <w:jc w:val="center"/>
        <w:rPr>
          <w:b/>
          <w:color w:val="2F5496" w:themeColor="accent1" w:themeShade="BF"/>
        </w:rPr>
      </w:pPr>
    </w:p>
    <w:p w14:paraId="51F57A75" w14:textId="31A9C460" w:rsidR="00E73E20" w:rsidRDefault="00E73E20" w:rsidP="004C77E7"/>
    <w:p w14:paraId="58DF60FA" w14:textId="0F5590EE" w:rsidR="002367C7" w:rsidRDefault="002367C7" w:rsidP="004C77E7">
      <w:pPr>
        <w:rPr>
          <w:b/>
          <w:sz w:val="24"/>
          <w:szCs w:val="24"/>
        </w:rPr>
      </w:pPr>
      <w:r>
        <w:rPr>
          <w:b/>
          <w:sz w:val="24"/>
          <w:szCs w:val="24"/>
        </w:rPr>
        <w:t>Appendix 5: Research Workflow</w:t>
      </w:r>
    </w:p>
    <w:p w14:paraId="60A5B5F4" w14:textId="16D2909D" w:rsidR="005B7D5A" w:rsidRDefault="005B7D5A" w:rsidP="00A937F0">
      <w:pPr>
        <w:jc w:val="center"/>
        <w:rPr>
          <w:b/>
          <w:sz w:val="24"/>
          <w:szCs w:val="24"/>
        </w:rPr>
      </w:pPr>
      <w:r>
        <w:rPr>
          <w:b/>
          <w:noProof/>
          <w:sz w:val="24"/>
          <w:szCs w:val="24"/>
        </w:rPr>
        <w:drawing>
          <wp:inline distT="0" distB="0" distL="0" distR="0" wp14:anchorId="2702A6FC" wp14:editId="424A06A7">
            <wp:extent cx="6715125" cy="3533775"/>
            <wp:effectExtent l="0" t="0" r="9525"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_Workflow.jpg"/>
                    <pic:cNvPicPr/>
                  </pic:nvPicPr>
                  <pic:blipFill>
                    <a:blip r:embed="rId13">
                      <a:extLst>
                        <a:ext uri="{28A0092B-C50C-407E-A947-70E740481C1C}">
                          <a14:useLocalDpi xmlns:a14="http://schemas.microsoft.com/office/drawing/2010/main" val="0"/>
                        </a:ext>
                      </a:extLst>
                    </a:blip>
                    <a:stretch>
                      <a:fillRect/>
                    </a:stretch>
                  </pic:blipFill>
                  <pic:spPr>
                    <a:xfrm>
                      <a:off x="0" y="0"/>
                      <a:ext cx="6715125" cy="3533775"/>
                    </a:xfrm>
                    <a:prstGeom prst="rect">
                      <a:avLst/>
                    </a:prstGeom>
                  </pic:spPr>
                </pic:pic>
              </a:graphicData>
            </a:graphic>
          </wp:inline>
        </w:drawing>
      </w:r>
    </w:p>
    <w:p w14:paraId="0328A076" w14:textId="11B5810B" w:rsidR="009574DE" w:rsidRDefault="009574DE" w:rsidP="002367C7"/>
    <w:sectPr w:rsidR="009574DE" w:rsidSect="00E95736">
      <w:footerReference w:type="default" r:id="rId14"/>
      <w:pgSz w:w="12240" w:h="15840"/>
      <w:pgMar w:top="864" w:right="1296"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1C8F3" w14:textId="77777777" w:rsidR="00CF7565" w:rsidRDefault="00CF7565" w:rsidP="002B2A61">
      <w:pPr>
        <w:spacing w:after="0" w:line="240" w:lineRule="auto"/>
      </w:pPr>
      <w:r>
        <w:separator/>
      </w:r>
    </w:p>
  </w:endnote>
  <w:endnote w:type="continuationSeparator" w:id="0">
    <w:p w14:paraId="7815192C" w14:textId="77777777" w:rsidR="00CF7565" w:rsidRDefault="00CF7565" w:rsidP="002B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024117"/>
      <w:docPartObj>
        <w:docPartGallery w:val="Page Numbers (Bottom of Page)"/>
        <w:docPartUnique/>
      </w:docPartObj>
    </w:sdtPr>
    <w:sdtEndPr>
      <w:rPr>
        <w:noProof/>
      </w:rPr>
    </w:sdtEndPr>
    <w:sdtContent>
      <w:p w14:paraId="29E151B2" w14:textId="7BA320BF" w:rsidR="000D3AF5" w:rsidRDefault="000D3A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B907A" w14:textId="77777777" w:rsidR="000D3AF5" w:rsidRDefault="000D3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2D248" w14:textId="77777777" w:rsidR="00CF7565" w:rsidRDefault="00CF7565" w:rsidP="002B2A61">
      <w:pPr>
        <w:spacing w:after="0" w:line="240" w:lineRule="auto"/>
      </w:pPr>
      <w:r>
        <w:separator/>
      </w:r>
    </w:p>
  </w:footnote>
  <w:footnote w:type="continuationSeparator" w:id="0">
    <w:p w14:paraId="563D7D63" w14:textId="77777777" w:rsidR="00CF7565" w:rsidRDefault="00CF7565" w:rsidP="002B2A61">
      <w:pPr>
        <w:spacing w:after="0" w:line="240" w:lineRule="auto"/>
      </w:pPr>
      <w:r>
        <w:continuationSeparator/>
      </w:r>
    </w:p>
  </w:footnote>
  <w:footnote w:id="1">
    <w:p w14:paraId="66C95CE2" w14:textId="69C2B13D" w:rsidR="002B2A61" w:rsidRDefault="002B2A61">
      <w:pPr>
        <w:pStyle w:val="FootnoteText"/>
      </w:pPr>
      <w:r>
        <w:rPr>
          <w:rStyle w:val="FootnoteReference"/>
        </w:rPr>
        <w:footnoteRef/>
      </w:r>
      <w:r>
        <w:t xml:space="preserve"> </w:t>
      </w:r>
      <w:r>
        <w:rPr>
          <w:color w:val="333333"/>
          <w:shd w:val="clear" w:color="auto" w:fill="FFFFFF"/>
        </w:rPr>
        <w:t>"22 Immigrants Died in ICE Detention Centers during the past 2 Years." NBCNews.com. Accessed April 02, 2019. https://www.nbcnews.com/politics/immigration/22-immigrants-died-ice-detention-centers-during-past-2-years-n954781.</w:t>
      </w:r>
    </w:p>
  </w:footnote>
  <w:footnote w:id="2">
    <w:p w14:paraId="56476374" w14:textId="545CD8D2" w:rsidR="00CB41E5" w:rsidRDefault="00CB41E5">
      <w:pPr>
        <w:pStyle w:val="FootnoteText"/>
      </w:pPr>
      <w:r>
        <w:rPr>
          <w:rStyle w:val="FootnoteReference"/>
        </w:rPr>
        <w:footnoteRef/>
      </w:r>
      <w:r>
        <w:t xml:space="preserve"> </w:t>
      </w:r>
      <w:r>
        <w:rPr>
          <w:color w:val="333333"/>
          <w:shd w:val="clear" w:color="auto" w:fill="FFFFFF"/>
        </w:rPr>
        <w:t>"Secure Communities." ICE. Accessed April 02, 2019. https://www.ice.gov/secure-communities.</w:t>
      </w:r>
    </w:p>
  </w:footnote>
  <w:footnote w:id="3">
    <w:p w14:paraId="35B06B3F" w14:textId="2CCCF9E4" w:rsidR="00014358" w:rsidRDefault="00014358">
      <w:pPr>
        <w:pStyle w:val="FootnoteText"/>
      </w:pPr>
      <w:r>
        <w:rPr>
          <w:rStyle w:val="FootnoteReference"/>
        </w:rPr>
        <w:footnoteRef/>
      </w:r>
      <w:r>
        <w:t xml:space="preserve"> </w:t>
      </w:r>
      <w:r>
        <w:rPr>
          <w:color w:val="333333"/>
          <w:shd w:val="clear" w:color="auto" w:fill="FFFFFF"/>
        </w:rPr>
        <w:t>Groetzinger, Kate, and Kate Groetzinger. "Trump's Temporary Immigration Ban Was Cover for His Order to Defund Sanctuary Cities." Quartz. February 02, 2017. Accessed April 03, 2019. https://qz.com/899563/trump-executive-order-reinstates-bushs-secure-communities-policy-which-may-have-serious-impact-on-immigrants-in-sanctuary-cities/.</w:t>
      </w:r>
    </w:p>
  </w:footnote>
  <w:footnote w:id="4">
    <w:p w14:paraId="3A02BFC4" w14:textId="574112B3" w:rsidR="000D3AF5" w:rsidRDefault="000D3AF5">
      <w:pPr>
        <w:pStyle w:val="FootnoteText"/>
      </w:pPr>
      <w:r>
        <w:rPr>
          <w:rStyle w:val="FootnoteReference"/>
        </w:rPr>
        <w:footnoteRef/>
      </w:r>
      <w:r>
        <w:t xml:space="preserve"> </w:t>
      </w:r>
      <w:r>
        <w:rPr>
          <w:color w:val="333333"/>
          <w:shd w:val="clear" w:color="auto" w:fill="FFFFFF"/>
        </w:rPr>
        <w:t>"FOIA Library." ICE. Accessed April 03, 2019. https://www.ice.gov/foia/library.</w:t>
      </w:r>
    </w:p>
  </w:footnote>
  <w:footnote w:id="5">
    <w:p w14:paraId="5A1A1163" w14:textId="5C2D43B9" w:rsidR="00354FC2" w:rsidRDefault="00354FC2">
      <w:pPr>
        <w:pStyle w:val="FootnoteText"/>
      </w:pPr>
      <w:r>
        <w:rPr>
          <w:rStyle w:val="FootnoteReference"/>
        </w:rPr>
        <w:footnoteRef/>
      </w:r>
      <w:r>
        <w:t xml:space="preserve"> </w:t>
      </w:r>
      <w:r>
        <w:rPr>
          <w:color w:val="333333"/>
          <w:shd w:val="clear" w:color="auto" w:fill="FFFFFF"/>
        </w:rPr>
        <w:t>"Immigration Data Portal." CIS.org. Accessed April 07, 2019. https://cis.org/Immigration-Statistics-Data-Portal.</w:t>
      </w:r>
    </w:p>
  </w:footnote>
  <w:footnote w:id="6">
    <w:p w14:paraId="63653075" w14:textId="771101FD" w:rsidR="00566A74" w:rsidRDefault="00566A74">
      <w:pPr>
        <w:pStyle w:val="FootnoteText"/>
      </w:pPr>
      <w:r>
        <w:rPr>
          <w:rStyle w:val="FootnoteReference"/>
        </w:rPr>
        <w:footnoteRef/>
      </w:r>
      <w:r>
        <w:t xml:space="preserve"> </w:t>
      </w:r>
      <w:r>
        <w:rPr>
          <w:color w:val="333333"/>
          <w:shd w:val="clear" w:color="auto" w:fill="FFFFFF"/>
        </w:rPr>
        <w:t>Data Access and Dissemination Systems (DADS). "American FactFinder." American FactFinder. October 05, 2010. Accessed April 07, 2019. https://factfinder.census.gov/faces/nav/jsf/pages/index.xhtml.</w:t>
      </w:r>
    </w:p>
  </w:footnote>
  <w:footnote w:id="7">
    <w:p w14:paraId="2D901EFC" w14:textId="5EFC66C2" w:rsidR="00EF5079" w:rsidRDefault="00EF5079">
      <w:pPr>
        <w:pStyle w:val="FootnoteText"/>
      </w:pPr>
      <w:r>
        <w:rPr>
          <w:rStyle w:val="FootnoteReference"/>
        </w:rPr>
        <w:footnoteRef/>
      </w:r>
      <w:r>
        <w:t xml:space="preserve"> </w:t>
      </w:r>
      <w:r w:rsidRPr="00EF5079">
        <w:t>https://github.com/tonmcg/US_County_Level_Election_Results_08-16</w:t>
      </w:r>
    </w:p>
  </w:footnote>
  <w:footnote w:id="8">
    <w:p w14:paraId="3F6B2F6E" w14:textId="7E0FCFB0" w:rsidR="009F3904" w:rsidRDefault="009F3904">
      <w:pPr>
        <w:pStyle w:val="FootnoteText"/>
      </w:pPr>
      <w:r>
        <w:rPr>
          <w:rStyle w:val="FootnoteReference"/>
        </w:rPr>
        <w:footnoteRef/>
      </w:r>
      <w:r>
        <w:t xml:space="preserve"> </w:t>
      </w:r>
      <w:r w:rsidR="009740AA">
        <w:rPr>
          <w:color w:val="333333"/>
          <w:shd w:val="clear" w:color="auto" w:fill="FFFFFF"/>
        </w:rPr>
        <w:t>Revolvy, LLC. ""International Border States of the United States" on Revolvy.com." Revolvy. Accessed April 07, 2019. https://www.revolvy.com/page/International-border-states-of-the-United-States.</w:t>
      </w:r>
    </w:p>
  </w:footnote>
  <w:footnote w:id="9">
    <w:p w14:paraId="5B642742" w14:textId="02FAC6D9" w:rsidR="002210FE" w:rsidRDefault="002210FE">
      <w:pPr>
        <w:pStyle w:val="FootnoteText"/>
      </w:pPr>
      <w:r>
        <w:rPr>
          <w:rStyle w:val="FootnoteReference"/>
        </w:rPr>
        <w:footnoteRef/>
      </w:r>
      <w:r>
        <w:t xml:space="preserve"> </w:t>
      </w:r>
      <w:r w:rsidR="00E95736">
        <w:rPr>
          <w:color w:val="333333"/>
          <w:shd w:val="clear" w:color="auto" w:fill="FFFFFF"/>
        </w:rPr>
        <w:t>Wola. "Fact Sheet: U.S. Immigration and Central American Asylum Seekers." WOLA. Accessed May 08, 2019. https://www.wola.org/analysis/fact-sheet-united-states-immigration-central-american-asylum-seekers/.</w:t>
      </w:r>
    </w:p>
  </w:footnote>
  <w:footnote w:id="10">
    <w:p w14:paraId="13671E24" w14:textId="77777777" w:rsidR="00A937F0" w:rsidRDefault="00A937F0" w:rsidP="00A937F0">
      <w:pPr>
        <w:pStyle w:val="FootnoteText"/>
      </w:pPr>
      <w:r>
        <w:rPr>
          <w:rStyle w:val="FootnoteReference"/>
        </w:rPr>
        <w:footnoteRef/>
      </w:r>
      <w:r>
        <w:t xml:space="preserve"> </w:t>
      </w:r>
      <w:r>
        <w:rPr>
          <w:color w:val="333333"/>
          <w:shd w:val="clear" w:color="auto" w:fill="FFFFFF"/>
        </w:rPr>
        <w:t>"ICE Detention Facilities: Population and Facility Statistics - Dataset by Rivardreport." Data.world. July 31, 2018. Accessed May 10, 2019. https://data.world/rivardreport/ice-detention-facilities-population-and-facility-statistics.</w:t>
      </w:r>
    </w:p>
  </w:footnote>
  <w:footnote w:id="11">
    <w:p w14:paraId="75FBF9E8" w14:textId="77777777" w:rsidR="00A937F0" w:rsidRDefault="00A937F0" w:rsidP="00A937F0">
      <w:pPr>
        <w:pStyle w:val="FootnoteText"/>
      </w:pPr>
      <w:r>
        <w:rPr>
          <w:rStyle w:val="FootnoteReference"/>
        </w:rPr>
        <w:footnoteRef/>
      </w:r>
      <w:r>
        <w:t xml:space="preserve"> </w:t>
      </w:r>
      <w:r>
        <w:rPr>
          <w:color w:val="333333"/>
          <w:shd w:val="clear" w:color="auto" w:fill="FFFFFF"/>
        </w:rPr>
        <w:t>TRAC Immigration - Comprehensive, Independent, and Nonpartisan Information about Immigration Enforcement. Accessed May 10, 2019. https://trac.syr.edu/immigration/.</w:t>
      </w:r>
    </w:p>
  </w:footnote>
  <w:footnote w:id="12">
    <w:p w14:paraId="1A3214E3" w14:textId="66D53D55" w:rsidR="00A457F4" w:rsidRDefault="00A457F4">
      <w:pPr>
        <w:pStyle w:val="FootnoteText"/>
      </w:pPr>
      <w:r>
        <w:rPr>
          <w:rStyle w:val="FootnoteReference"/>
        </w:rPr>
        <w:footnoteRef/>
      </w:r>
      <w:r>
        <w:t xml:space="preserve"> </w:t>
      </w:r>
      <w:r>
        <w:rPr>
          <w:color w:val="333333"/>
          <w:shd w:val="clear" w:color="auto" w:fill="FFFFFF"/>
        </w:rPr>
        <w:t>"Election 2016 Results Map and Key Races for the President Elections - View the Latest Election Results, News, Polls and Conservative Election Commentary." Townhall. Accessed May 08, 2019. https://townhall.com/election/2016/president/.</w:t>
      </w:r>
    </w:p>
  </w:footnote>
  <w:footnote w:id="13">
    <w:p w14:paraId="6B696DB3" w14:textId="67B3661F" w:rsidR="001D4470" w:rsidRDefault="001D4470">
      <w:pPr>
        <w:pStyle w:val="FootnoteText"/>
      </w:pPr>
      <w:r>
        <w:rPr>
          <w:rStyle w:val="FootnoteReference"/>
        </w:rPr>
        <w:footnoteRef/>
      </w:r>
      <w:r>
        <w:t xml:space="preserve"> </w:t>
      </w:r>
      <w:r>
        <w:rPr>
          <w:color w:val="333333"/>
          <w:shd w:val="clear" w:color="auto" w:fill="FFFFFF"/>
        </w:rPr>
        <w:t>Wee, Rolando Y. "States With the Largest Latino and Hispanic Populations." WorldAtlas. March 14, 2016. Accessed May 10, 2019. https://www.worldatlas.com/articles/us-states-with-the-largest-relative-hispanic-and-latino-populations.html.</w:t>
      </w:r>
    </w:p>
  </w:footnote>
  <w:footnote w:id="14">
    <w:p w14:paraId="42CD595E" w14:textId="38627449" w:rsidR="00BA29BC" w:rsidRDefault="00BA29BC">
      <w:pPr>
        <w:pStyle w:val="FootnoteText"/>
      </w:pPr>
      <w:r>
        <w:rPr>
          <w:rStyle w:val="FootnoteReference"/>
        </w:rPr>
        <w:footnoteRef/>
      </w:r>
      <w:r>
        <w:t xml:space="preserve"> </w:t>
      </w:r>
      <w:r>
        <w:rPr>
          <w:color w:val="333333"/>
          <w:shd w:val="clear" w:color="auto" w:fill="FFFFFF"/>
        </w:rPr>
        <w:t>Transactional Records Access Clearinghouse (TRAC) - Comprehensive, Independent, and Nonpartisan Information on Federal Enforcement, Staffing and Funding. Accessed May 08, 2019. https://trac.syr.edu/immigration/reports/330/.</w:t>
      </w:r>
    </w:p>
  </w:footnote>
  <w:footnote w:id="15">
    <w:p w14:paraId="3C7D6FFE" w14:textId="77777777" w:rsidR="00D208DF" w:rsidRDefault="00D208DF" w:rsidP="00D208DF">
      <w:pPr>
        <w:pStyle w:val="FootnoteText"/>
      </w:pPr>
      <w:r>
        <w:rPr>
          <w:rStyle w:val="FootnoteReference"/>
        </w:rPr>
        <w:footnoteRef/>
      </w:r>
      <w:r>
        <w:t xml:space="preserve"> </w:t>
      </w:r>
      <w:r>
        <w:rPr>
          <w:color w:val="333333"/>
          <w:shd w:val="clear" w:color="auto" w:fill="FFFFFF"/>
        </w:rPr>
        <w:t>Transactional Records Access Clearinghouse (TRAC) - Comprehensive, Independent, and Nonpartisan Information on Federal Enforcement, Staffing and Funding. Accessed May 09, 2019. https://trac.syr.edu/immigration/reports/448/.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3CBF"/>
    <w:multiLevelType w:val="hybridMultilevel"/>
    <w:tmpl w:val="761E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F6487"/>
    <w:multiLevelType w:val="hybridMultilevel"/>
    <w:tmpl w:val="04907C60"/>
    <w:lvl w:ilvl="0" w:tplc="9E7A2680">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85507"/>
    <w:multiLevelType w:val="hybridMultilevel"/>
    <w:tmpl w:val="C718833C"/>
    <w:lvl w:ilvl="0" w:tplc="2A40390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3F"/>
    <w:rsid w:val="0000373E"/>
    <w:rsid w:val="00007221"/>
    <w:rsid w:val="00014358"/>
    <w:rsid w:val="00016F9E"/>
    <w:rsid w:val="000170EF"/>
    <w:rsid w:val="00023EC7"/>
    <w:rsid w:val="00026ED1"/>
    <w:rsid w:val="00032627"/>
    <w:rsid w:val="00035E6F"/>
    <w:rsid w:val="00041AB5"/>
    <w:rsid w:val="0004636A"/>
    <w:rsid w:val="0004715F"/>
    <w:rsid w:val="00057402"/>
    <w:rsid w:val="00061768"/>
    <w:rsid w:val="00063125"/>
    <w:rsid w:val="00066D27"/>
    <w:rsid w:val="000701C9"/>
    <w:rsid w:val="0007243F"/>
    <w:rsid w:val="000738B6"/>
    <w:rsid w:val="00076C3B"/>
    <w:rsid w:val="00085785"/>
    <w:rsid w:val="000875F8"/>
    <w:rsid w:val="00090A55"/>
    <w:rsid w:val="00093CB5"/>
    <w:rsid w:val="000A6890"/>
    <w:rsid w:val="000B185F"/>
    <w:rsid w:val="000B2B13"/>
    <w:rsid w:val="000B2FDC"/>
    <w:rsid w:val="000B5B03"/>
    <w:rsid w:val="000C0212"/>
    <w:rsid w:val="000C22AD"/>
    <w:rsid w:val="000C25F0"/>
    <w:rsid w:val="000C3740"/>
    <w:rsid w:val="000D3AF5"/>
    <w:rsid w:val="000D597E"/>
    <w:rsid w:val="000D6D0B"/>
    <w:rsid w:val="000E4D7A"/>
    <w:rsid w:val="000F621D"/>
    <w:rsid w:val="001007C4"/>
    <w:rsid w:val="001019B9"/>
    <w:rsid w:val="00103A28"/>
    <w:rsid w:val="001143ED"/>
    <w:rsid w:val="001150AC"/>
    <w:rsid w:val="00117884"/>
    <w:rsid w:val="001325AA"/>
    <w:rsid w:val="00135C43"/>
    <w:rsid w:val="0014056C"/>
    <w:rsid w:val="00142E85"/>
    <w:rsid w:val="00146653"/>
    <w:rsid w:val="00146B03"/>
    <w:rsid w:val="001506CE"/>
    <w:rsid w:val="0015085A"/>
    <w:rsid w:val="001623FF"/>
    <w:rsid w:val="001625B7"/>
    <w:rsid w:val="00165730"/>
    <w:rsid w:val="0016643A"/>
    <w:rsid w:val="00166A35"/>
    <w:rsid w:val="00170F7C"/>
    <w:rsid w:val="00176539"/>
    <w:rsid w:val="00187EBA"/>
    <w:rsid w:val="00194726"/>
    <w:rsid w:val="0019556D"/>
    <w:rsid w:val="001971D5"/>
    <w:rsid w:val="001A17C6"/>
    <w:rsid w:val="001A69A0"/>
    <w:rsid w:val="001B4F72"/>
    <w:rsid w:val="001B5290"/>
    <w:rsid w:val="001B6F63"/>
    <w:rsid w:val="001C7DD3"/>
    <w:rsid w:val="001C7F2C"/>
    <w:rsid w:val="001D1023"/>
    <w:rsid w:val="001D2133"/>
    <w:rsid w:val="001D4470"/>
    <w:rsid w:val="001E0233"/>
    <w:rsid w:val="001E392A"/>
    <w:rsid w:val="001F310C"/>
    <w:rsid w:val="001F31DD"/>
    <w:rsid w:val="001F600A"/>
    <w:rsid w:val="00206881"/>
    <w:rsid w:val="00214993"/>
    <w:rsid w:val="002205D4"/>
    <w:rsid w:val="002210FE"/>
    <w:rsid w:val="00222FD2"/>
    <w:rsid w:val="00233785"/>
    <w:rsid w:val="002339F4"/>
    <w:rsid w:val="002367C7"/>
    <w:rsid w:val="00236A89"/>
    <w:rsid w:val="002401F5"/>
    <w:rsid w:val="00242FB0"/>
    <w:rsid w:val="00247AC1"/>
    <w:rsid w:val="0025069D"/>
    <w:rsid w:val="002746C0"/>
    <w:rsid w:val="00281605"/>
    <w:rsid w:val="002871D6"/>
    <w:rsid w:val="00292286"/>
    <w:rsid w:val="002A0C06"/>
    <w:rsid w:val="002B14D2"/>
    <w:rsid w:val="002B2A61"/>
    <w:rsid w:val="002C25FB"/>
    <w:rsid w:val="002C2783"/>
    <w:rsid w:val="002C2877"/>
    <w:rsid w:val="002C4DEC"/>
    <w:rsid w:val="002C5CE8"/>
    <w:rsid w:val="002D25E1"/>
    <w:rsid w:val="002D3E07"/>
    <w:rsid w:val="002D6DF2"/>
    <w:rsid w:val="002E2AB4"/>
    <w:rsid w:val="002F0C17"/>
    <w:rsid w:val="002F32D0"/>
    <w:rsid w:val="002F447E"/>
    <w:rsid w:val="0030544B"/>
    <w:rsid w:val="00306FC5"/>
    <w:rsid w:val="00310539"/>
    <w:rsid w:val="00311AC3"/>
    <w:rsid w:val="00312354"/>
    <w:rsid w:val="00312A8D"/>
    <w:rsid w:val="003134DA"/>
    <w:rsid w:val="00313914"/>
    <w:rsid w:val="00314BED"/>
    <w:rsid w:val="00320DAB"/>
    <w:rsid w:val="00322AD4"/>
    <w:rsid w:val="0034071C"/>
    <w:rsid w:val="003425A8"/>
    <w:rsid w:val="00354FC2"/>
    <w:rsid w:val="00361BC2"/>
    <w:rsid w:val="00362170"/>
    <w:rsid w:val="00363855"/>
    <w:rsid w:val="00364833"/>
    <w:rsid w:val="00365583"/>
    <w:rsid w:val="00370E16"/>
    <w:rsid w:val="003738B1"/>
    <w:rsid w:val="00374610"/>
    <w:rsid w:val="00375EC6"/>
    <w:rsid w:val="003760BC"/>
    <w:rsid w:val="00376E7E"/>
    <w:rsid w:val="00382C08"/>
    <w:rsid w:val="00383B74"/>
    <w:rsid w:val="00386CA6"/>
    <w:rsid w:val="00387534"/>
    <w:rsid w:val="00393D26"/>
    <w:rsid w:val="003A4136"/>
    <w:rsid w:val="003A505C"/>
    <w:rsid w:val="003A6AF3"/>
    <w:rsid w:val="003A719B"/>
    <w:rsid w:val="003A7B94"/>
    <w:rsid w:val="003B4379"/>
    <w:rsid w:val="003C4ED2"/>
    <w:rsid w:val="003D03AB"/>
    <w:rsid w:val="003D1F39"/>
    <w:rsid w:val="003D3295"/>
    <w:rsid w:val="003D427E"/>
    <w:rsid w:val="003D48B1"/>
    <w:rsid w:val="003E42FA"/>
    <w:rsid w:val="003F1611"/>
    <w:rsid w:val="00404E73"/>
    <w:rsid w:val="00407DA9"/>
    <w:rsid w:val="004103B8"/>
    <w:rsid w:val="0041769E"/>
    <w:rsid w:val="00423F83"/>
    <w:rsid w:val="004256A9"/>
    <w:rsid w:val="004339ED"/>
    <w:rsid w:val="00433AB9"/>
    <w:rsid w:val="004454BC"/>
    <w:rsid w:val="00447CCA"/>
    <w:rsid w:val="0045044A"/>
    <w:rsid w:val="00454601"/>
    <w:rsid w:val="0045657A"/>
    <w:rsid w:val="004567AE"/>
    <w:rsid w:val="00456A8A"/>
    <w:rsid w:val="00463B2D"/>
    <w:rsid w:val="00471D5B"/>
    <w:rsid w:val="00472C32"/>
    <w:rsid w:val="0047553B"/>
    <w:rsid w:val="00484F82"/>
    <w:rsid w:val="004860F2"/>
    <w:rsid w:val="004A5BA2"/>
    <w:rsid w:val="004B618C"/>
    <w:rsid w:val="004B7D65"/>
    <w:rsid w:val="004C4525"/>
    <w:rsid w:val="004C5491"/>
    <w:rsid w:val="004C6033"/>
    <w:rsid w:val="004C7376"/>
    <w:rsid w:val="004C77E7"/>
    <w:rsid w:val="004D530D"/>
    <w:rsid w:val="004D6342"/>
    <w:rsid w:val="004E4A0D"/>
    <w:rsid w:val="004F60BB"/>
    <w:rsid w:val="00500CBB"/>
    <w:rsid w:val="00500F49"/>
    <w:rsid w:val="0050662D"/>
    <w:rsid w:val="00515211"/>
    <w:rsid w:val="005163E7"/>
    <w:rsid w:val="005242B1"/>
    <w:rsid w:val="005278AA"/>
    <w:rsid w:val="00530CFE"/>
    <w:rsid w:val="00530E16"/>
    <w:rsid w:val="005330CC"/>
    <w:rsid w:val="00537637"/>
    <w:rsid w:val="00537780"/>
    <w:rsid w:val="00541DE5"/>
    <w:rsid w:val="005453BC"/>
    <w:rsid w:val="00551381"/>
    <w:rsid w:val="00560A5E"/>
    <w:rsid w:val="00560B5F"/>
    <w:rsid w:val="00562CD0"/>
    <w:rsid w:val="00566A74"/>
    <w:rsid w:val="005676C7"/>
    <w:rsid w:val="00574EFF"/>
    <w:rsid w:val="00575FFC"/>
    <w:rsid w:val="00576296"/>
    <w:rsid w:val="00577241"/>
    <w:rsid w:val="00577A48"/>
    <w:rsid w:val="005948D9"/>
    <w:rsid w:val="00596DE0"/>
    <w:rsid w:val="00597FAC"/>
    <w:rsid w:val="005B1350"/>
    <w:rsid w:val="005B1BBC"/>
    <w:rsid w:val="005B6C87"/>
    <w:rsid w:val="005B7D5A"/>
    <w:rsid w:val="005C6E38"/>
    <w:rsid w:val="005E22C3"/>
    <w:rsid w:val="005E5231"/>
    <w:rsid w:val="005E588D"/>
    <w:rsid w:val="005E60B3"/>
    <w:rsid w:val="005F6AD8"/>
    <w:rsid w:val="00605AA8"/>
    <w:rsid w:val="00614A60"/>
    <w:rsid w:val="00616889"/>
    <w:rsid w:val="006203F6"/>
    <w:rsid w:val="00620647"/>
    <w:rsid w:val="006222F4"/>
    <w:rsid w:val="00627188"/>
    <w:rsid w:val="0063015F"/>
    <w:rsid w:val="00633796"/>
    <w:rsid w:val="006454F8"/>
    <w:rsid w:val="0064771A"/>
    <w:rsid w:val="00655187"/>
    <w:rsid w:val="00657AE3"/>
    <w:rsid w:val="00660A71"/>
    <w:rsid w:val="006627A6"/>
    <w:rsid w:val="00664B6B"/>
    <w:rsid w:val="00667090"/>
    <w:rsid w:val="00672416"/>
    <w:rsid w:val="00672E7B"/>
    <w:rsid w:val="00674703"/>
    <w:rsid w:val="00676706"/>
    <w:rsid w:val="006777AA"/>
    <w:rsid w:val="00680D1C"/>
    <w:rsid w:val="00681C6B"/>
    <w:rsid w:val="0068795D"/>
    <w:rsid w:val="0069141B"/>
    <w:rsid w:val="00693483"/>
    <w:rsid w:val="00696423"/>
    <w:rsid w:val="006A4177"/>
    <w:rsid w:val="006B0E01"/>
    <w:rsid w:val="006B354C"/>
    <w:rsid w:val="006B64E1"/>
    <w:rsid w:val="006C3B57"/>
    <w:rsid w:val="006C4164"/>
    <w:rsid w:val="006C4B6A"/>
    <w:rsid w:val="006D296B"/>
    <w:rsid w:val="006E31B8"/>
    <w:rsid w:val="006E6DF4"/>
    <w:rsid w:val="006F2301"/>
    <w:rsid w:val="006F5E0C"/>
    <w:rsid w:val="00707C41"/>
    <w:rsid w:val="007121A9"/>
    <w:rsid w:val="00714207"/>
    <w:rsid w:val="007310DE"/>
    <w:rsid w:val="0073183C"/>
    <w:rsid w:val="00750E14"/>
    <w:rsid w:val="00765423"/>
    <w:rsid w:val="00766836"/>
    <w:rsid w:val="0076788F"/>
    <w:rsid w:val="00770F14"/>
    <w:rsid w:val="007813BB"/>
    <w:rsid w:val="00790831"/>
    <w:rsid w:val="00792645"/>
    <w:rsid w:val="00793291"/>
    <w:rsid w:val="00793F04"/>
    <w:rsid w:val="007945C9"/>
    <w:rsid w:val="00794649"/>
    <w:rsid w:val="007A255C"/>
    <w:rsid w:val="007B319F"/>
    <w:rsid w:val="007B56E8"/>
    <w:rsid w:val="007C0F70"/>
    <w:rsid w:val="007C142C"/>
    <w:rsid w:val="007C1E6D"/>
    <w:rsid w:val="007C334D"/>
    <w:rsid w:val="007D4893"/>
    <w:rsid w:val="007D4BDA"/>
    <w:rsid w:val="007D70A4"/>
    <w:rsid w:val="007E1B1A"/>
    <w:rsid w:val="007E3870"/>
    <w:rsid w:val="007E4E0F"/>
    <w:rsid w:val="007F58BD"/>
    <w:rsid w:val="00812236"/>
    <w:rsid w:val="00812DC4"/>
    <w:rsid w:val="00814095"/>
    <w:rsid w:val="00820561"/>
    <w:rsid w:val="00821135"/>
    <w:rsid w:val="00822F8F"/>
    <w:rsid w:val="00823602"/>
    <w:rsid w:val="00841DA9"/>
    <w:rsid w:val="00842923"/>
    <w:rsid w:val="008466E2"/>
    <w:rsid w:val="00851364"/>
    <w:rsid w:val="00860E0B"/>
    <w:rsid w:val="00864631"/>
    <w:rsid w:val="00866504"/>
    <w:rsid w:val="0087284F"/>
    <w:rsid w:val="008774D4"/>
    <w:rsid w:val="008831AB"/>
    <w:rsid w:val="008832A3"/>
    <w:rsid w:val="00883CCC"/>
    <w:rsid w:val="0089758D"/>
    <w:rsid w:val="008A0342"/>
    <w:rsid w:val="008A0A3E"/>
    <w:rsid w:val="008A2739"/>
    <w:rsid w:val="008B6BDD"/>
    <w:rsid w:val="008C5F23"/>
    <w:rsid w:val="008D127F"/>
    <w:rsid w:val="008E1C42"/>
    <w:rsid w:val="008F32AE"/>
    <w:rsid w:val="008F49F8"/>
    <w:rsid w:val="008F5002"/>
    <w:rsid w:val="00906D8F"/>
    <w:rsid w:val="0092151B"/>
    <w:rsid w:val="00923E9D"/>
    <w:rsid w:val="00927D38"/>
    <w:rsid w:val="00935135"/>
    <w:rsid w:val="009368F0"/>
    <w:rsid w:val="00943993"/>
    <w:rsid w:val="0094405E"/>
    <w:rsid w:val="009574DE"/>
    <w:rsid w:val="00960D43"/>
    <w:rsid w:val="00961E42"/>
    <w:rsid w:val="00962A26"/>
    <w:rsid w:val="0096474F"/>
    <w:rsid w:val="00966C74"/>
    <w:rsid w:val="00972A71"/>
    <w:rsid w:val="009740AA"/>
    <w:rsid w:val="009842C0"/>
    <w:rsid w:val="00987104"/>
    <w:rsid w:val="00990DA5"/>
    <w:rsid w:val="00994698"/>
    <w:rsid w:val="00996E74"/>
    <w:rsid w:val="009A1E1B"/>
    <w:rsid w:val="009A326E"/>
    <w:rsid w:val="009A4058"/>
    <w:rsid w:val="009A6A67"/>
    <w:rsid w:val="009B2FB5"/>
    <w:rsid w:val="009B43C1"/>
    <w:rsid w:val="009B4A30"/>
    <w:rsid w:val="009C1BD7"/>
    <w:rsid w:val="009C3BA7"/>
    <w:rsid w:val="009C3C9C"/>
    <w:rsid w:val="009C5A47"/>
    <w:rsid w:val="009E34A9"/>
    <w:rsid w:val="009E613C"/>
    <w:rsid w:val="009F2782"/>
    <w:rsid w:val="009F2EA7"/>
    <w:rsid w:val="009F3904"/>
    <w:rsid w:val="00A0439A"/>
    <w:rsid w:val="00A0702F"/>
    <w:rsid w:val="00A20658"/>
    <w:rsid w:val="00A20C2A"/>
    <w:rsid w:val="00A22493"/>
    <w:rsid w:val="00A22A8C"/>
    <w:rsid w:val="00A25C74"/>
    <w:rsid w:val="00A37E11"/>
    <w:rsid w:val="00A402CA"/>
    <w:rsid w:val="00A41EB6"/>
    <w:rsid w:val="00A42559"/>
    <w:rsid w:val="00A432AB"/>
    <w:rsid w:val="00A457F4"/>
    <w:rsid w:val="00A459E0"/>
    <w:rsid w:val="00A511B1"/>
    <w:rsid w:val="00A51D1D"/>
    <w:rsid w:val="00A535E5"/>
    <w:rsid w:val="00A55DE5"/>
    <w:rsid w:val="00A61089"/>
    <w:rsid w:val="00A66876"/>
    <w:rsid w:val="00A710E1"/>
    <w:rsid w:val="00A7187F"/>
    <w:rsid w:val="00A73314"/>
    <w:rsid w:val="00A80944"/>
    <w:rsid w:val="00A83BEF"/>
    <w:rsid w:val="00A845FF"/>
    <w:rsid w:val="00A937F0"/>
    <w:rsid w:val="00A947C0"/>
    <w:rsid w:val="00A952DC"/>
    <w:rsid w:val="00AA793F"/>
    <w:rsid w:val="00AB3893"/>
    <w:rsid w:val="00AB5409"/>
    <w:rsid w:val="00AC0020"/>
    <w:rsid w:val="00AC082D"/>
    <w:rsid w:val="00AC0C3C"/>
    <w:rsid w:val="00AC4640"/>
    <w:rsid w:val="00AC6AE7"/>
    <w:rsid w:val="00AD03F0"/>
    <w:rsid w:val="00AD0470"/>
    <w:rsid w:val="00AD448F"/>
    <w:rsid w:val="00AF1533"/>
    <w:rsid w:val="00B005DD"/>
    <w:rsid w:val="00B0696F"/>
    <w:rsid w:val="00B170FF"/>
    <w:rsid w:val="00B21B0E"/>
    <w:rsid w:val="00B21E1C"/>
    <w:rsid w:val="00B26A8C"/>
    <w:rsid w:val="00B335CB"/>
    <w:rsid w:val="00B33871"/>
    <w:rsid w:val="00B345B5"/>
    <w:rsid w:val="00B35F72"/>
    <w:rsid w:val="00B3623F"/>
    <w:rsid w:val="00B54C69"/>
    <w:rsid w:val="00B56BAC"/>
    <w:rsid w:val="00B66F3F"/>
    <w:rsid w:val="00B7513C"/>
    <w:rsid w:val="00B77047"/>
    <w:rsid w:val="00B81D4F"/>
    <w:rsid w:val="00B84A30"/>
    <w:rsid w:val="00B85532"/>
    <w:rsid w:val="00B92791"/>
    <w:rsid w:val="00B94507"/>
    <w:rsid w:val="00B9589F"/>
    <w:rsid w:val="00B97040"/>
    <w:rsid w:val="00BA29BC"/>
    <w:rsid w:val="00BA4195"/>
    <w:rsid w:val="00BB688F"/>
    <w:rsid w:val="00BB6D95"/>
    <w:rsid w:val="00BD529F"/>
    <w:rsid w:val="00BE0C61"/>
    <w:rsid w:val="00C16A77"/>
    <w:rsid w:val="00C203AE"/>
    <w:rsid w:val="00C32533"/>
    <w:rsid w:val="00C357AE"/>
    <w:rsid w:val="00C41E80"/>
    <w:rsid w:val="00C552FC"/>
    <w:rsid w:val="00C5577E"/>
    <w:rsid w:val="00C61071"/>
    <w:rsid w:val="00C626C9"/>
    <w:rsid w:val="00C705B9"/>
    <w:rsid w:val="00C72D53"/>
    <w:rsid w:val="00C76050"/>
    <w:rsid w:val="00C81218"/>
    <w:rsid w:val="00C81E78"/>
    <w:rsid w:val="00C87FA8"/>
    <w:rsid w:val="00C93A07"/>
    <w:rsid w:val="00C96690"/>
    <w:rsid w:val="00CA64A5"/>
    <w:rsid w:val="00CB41E5"/>
    <w:rsid w:val="00CD088F"/>
    <w:rsid w:val="00CD74B9"/>
    <w:rsid w:val="00CF5ED4"/>
    <w:rsid w:val="00CF7565"/>
    <w:rsid w:val="00D01893"/>
    <w:rsid w:val="00D01FDE"/>
    <w:rsid w:val="00D03DB6"/>
    <w:rsid w:val="00D064B5"/>
    <w:rsid w:val="00D16617"/>
    <w:rsid w:val="00D208DF"/>
    <w:rsid w:val="00D234E5"/>
    <w:rsid w:val="00D24FCA"/>
    <w:rsid w:val="00D27BBC"/>
    <w:rsid w:val="00D321C7"/>
    <w:rsid w:val="00D3501D"/>
    <w:rsid w:val="00D419FB"/>
    <w:rsid w:val="00D545B8"/>
    <w:rsid w:val="00D567A2"/>
    <w:rsid w:val="00D60C19"/>
    <w:rsid w:val="00D73549"/>
    <w:rsid w:val="00D741BE"/>
    <w:rsid w:val="00D84767"/>
    <w:rsid w:val="00D915FE"/>
    <w:rsid w:val="00D91732"/>
    <w:rsid w:val="00D96E83"/>
    <w:rsid w:val="00DA2736"/>
    <w:rsid w:val="00DA5733"/>
    <w:rsid w:val="00DA7A57"/>
    <w:rsid w:val="00DB70C2"/>
    <w:rsid w:val="00DC2F13"/>
    <w:rsid w:val="00DE1417"/>
    <w:rsid w:val="00DE401C"/>
    <w:rsid w:val="00DF6D36"/>
    <w:rsid w:val="00E02BCB"/>
    <w:rsid w:val="00E104D7"/>
    <w:rsid w:val="00E1341F"/>
    <w:rsid w:val="00E21AD7"/>
    <w:rsid w:val="00E22A0A"/>
    <w:rsid w:val="00E23ABF"/>
    <w:rsid w:val="00E26744"/>
    <w:rsid w:val="00E31865"/>
    <w:rsid w:val="00E40F20"/>
    <w:rsid w:val="00E44C65"/>
    <w:rsid w:val="00E554CD"/>
    <w:rsid w:val="00E55A8F"/>
    <w:rsid w:val="00E604A6"/>
    <w:rsid w:val="00E6485C"/>
    <w:rsid w:val="00E668D5"/>
    <w:rsid w:val="00E7199C"/>
    <w:rsid w:val="00E719DC"/>
    <w:rsid w:val="00E73E20"/>
    <w:rsid w:val="00E757CC"/>
    <w:rsid w:val="00E8288A"/>
    <w:rsid w:val="00E843A8"/>
    <w:rsid w:val="00E87A6B"/>
    <w:rsid w:val="00E9086D"/>
    <w:rsid w:val="00E9565E"/>
    <w:rsid w:val="00E95736"/>
    <w:rsid w:val="00E96C88"/>
    <w:rsid w:val="00EB3162"/>
    <w:rsid w:val="00EB5FFC"/>
    <w:rsid w:val="00EC1C35"/>
    <w:rsid w:val="00EE09E7"/>
    <w:rsid w:val="00EE190B"/>
    <w:rsid w:val="00EE3E93"/>
    <w:rsid w:val="00EF1BC3"/>
    <w:rsid w:val="00EF5079"/>
    <w:rsid w:val="00F0276A"/>
    <w:rsid w:val="00F06089"/>
    <w:rsid w:val="00F079CD"/>
    <w:rsid w:val="00F100B9"/>
    <w:rsid w:val="00F13579"/>
    <w:rsid w:val="00F21A5D"/>
    <w:rsid w:val="00F230C6"/>
    <w:rsid w:val="00F32041"/>
    <w:rsid w:val="00F334C0"/>
    <w:rsid w:val="00F336C4"/>
    <w:rsid w:val="00F360B7"/>
    <w:rsid w:val="00F37279"/>
    <w:rsid w:val="00F50C59"/>
    <w:rsid w:val="00F558D0"/>
    <w:rsid w:val="00F677F6"/>
    <w:rsid w:val="00F71A56"/>
    <w:rsid w:val="00F72254"/>
    <w:rsid w:val="00F73116"/>
    <w:rsid w:val="00F7390E"/>
    <w:rsid w:val="00F76C0C"/>
    <w:rsid w:val="00F77F19"/>
    <w:rsid w:val="00F84F50"/>
    <w:rsid w:val="00F90767"/>
    <w:rsid w:val="00F90F7C"/>
    <w:rsid w:val="00F92C00"/>
    <w:rsid w:val="00F92F01"/>
    <w:rsid w:val="00F9456C"/>
    <w:rsid w:val="00FA7E28"/>
    <w:rsid w:val="00FB2D8D"/>
    <w:rsid w:val="00FC16C1"/>
    <w:rsid w:val="00FD4F11"/>
    <w:rsid w:val="00FD74EB"/>
    <w:rsid w:val="00FE07C5"/>
    <w:rsid w:val="00FE5735"/>
    <w:rsid w:val="00FF0D3A"/>
    <w:rsid w:val="00FF3188"/>
    <w:rsid w:val="00FF3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7B29"/>
  <w15:chartTrackingRefBased/>
  <w15:docId w15:val="{BCC9A473-8B04-4EBB-A0C0-81D3C324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A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A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243F"/>
    <w:rPr>
      <w:sz w:val="16"/>
      <w:szCs w:val="16"/>
    </w:rPr>
  </w:style>
  <w:style w:type="paragraph" w:styleId="CommentText">
    <w:name w:val="annotation text"/>
    <w:basedOn w:val="Normal"/>
    <w:link w:val="CommentTextChar"/>
    <w:uiPriority w:val="99"/>
    <w:semiHidden/>
    <w:unhideWhenUsed/>
    <w:rsid w:val="0007243F"/>
    <w:pPr>
      <w:spacing w:line="240" w:lineRule="auto"/>
    </w:pPr>
    <w:rPr>
      <w:sz w:val="20"/>
      <w:szCs w:val="20"/>
    </w:rPr>
  </w:style>
  <w:style w:type="character" w:customStyle="1" w:styleId="CommentTextChar">
    <w:name w:val="Comment Text Char"/>
    <w:basedOn w:val="DefaultParagraphFont"/>
    <w:link w:val="CommentText"/>
    <w:uiPriority w:val="99"/>
    <w:semiHidden/>
    <w:rsid w:val="0007243F"/>
    <w:rPr>
      <w:sz w:val="20"/>
      <w:szCs w:val="20"/>
    </w:rPr>
  </w:style>
  <w:style w:type="paragraph" w:styleId="CommentSubject">
    <w:name w:val="annotation subject"/>
    <w:basedOn w:val="CommentText"/>
    <w:next w:val="CommentText"/>
    <w:link w:val="CommentSubjectChar"/>
    <w:uiPriority w:val="99"/>
    <w:semiHidden/>
    <w:unhideWhenUsed/>
    <w:rsid w:val="0007243F"/>
    <w:rPr>
      <w:b/>
      <w:bCs/>
    </w:rPr>
  </w:style>
  <w:style w:type="character" w:customStyle="1" w:styleId="CommentSubjectChar">
    <w:name w:val="Comment Subject Char"/>
    <w:basedOn w:val="CommentTextChar"/>
    <w:link w:val="CommentSubject"/>
    <w:uiPriority w:val="99"/>
    <w:semiHidden/>
    <w:rsid w:val="0007243F"/>
    <w:rPr>
      <w:b/>
      <w:bCs/>
      <w:sz w:val="20"/>
      <w:szCs w:val="20"/>
    </w:rPr>
  </w:style>
  <w:style w:type="paragraph" w:styleId="BalloonText">
    <w:name w:val="Balloon Text"/>
    <w:basedOn w:val="Normal"/>
    <w:link w:val="BalloonTextChar"/>
    <w:uiPriority w:val="99"/>
    <w:semiHidden/>
    <w:unhideWhenUsed/>
    <w:rsid w:val="0007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43F"/>
    <w:rPr>
      <w:rFonts w:ascii="Segoe UI" w:hAnsi="Segoe UI" w:cs="Segoe UI"/>
      <w:sz w:val="18"/>
      <w:szCs w:val="18"/>
    </w:rPr>
  </w:style>
  <w:style w:type="paragraph" w:styleId="Date">
    <w:name w:val="Date"/>
    <w:basedOn w:val="Normal"/>
    <w:next w:val="Normal"/>
    <w:link w:val="DateChar"/>
    <w:uiPriority w:val="99"/>
    <w:semiHidden/>
    <w:unhideWhenUsed/>
    <w:rsid w:val="0007243F"/>
  </w:style>
  <w:style w:type="character" w:customStyle="1" w:styleId="DateChar">
    <w:name w:val="Date Char"/>
    <w:basedOn w:val="DefaultParagraphFont"/>
    <w:link w:val="Date"/>
    <w:uiPriority w:val="99"/>
    <w:semiHidden/>
    <w:rsid w:val="0007243F"/>
  </w:style>
  <w:style w:type="paragraph" w:styleId="ListParagraph">
    <w:name w:val="List Paragraph"/>
    <w:basedOn w:val="Normal"/>
    <w:uiPriority w:val="34"/>
    <w:qFormat/>
    <w:rsid w:val="009C3BA7"/>
    <w:pPr>
      <w:ind w:left="720"/>
      <w:contextualSpacing/>
    </w:pPr>
  </w:style>
  <w:style w:type="character" w:customStyle="1" w:styleId="Heading1Char">
    <w:name w:val="Heading 1 Char"/>
    <w:basedOn w:val="DefaultParagraphFont"/>
    <w:link w:val="Heading1"/>
    <w:uiPriority w:val="9"/>
    <w:rsid w:val="006F23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A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4A3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23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A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23AB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2B2A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2A61"/>
    <w:rPr>
      <w:sz w:val="20"/>
      <w:szCs w:val="20"/>
    </w:rPr>
  </w:style>
  <w:style w:type="character" w:styleId="FootnoteReference">
    <w:name w:val="footnote reference"/>
    <w:basedOn w:val="DefaultParagraphFont"/>
    <w:uiPriority w:val="99"/>
    <w:unhideWhenUsed/>
    <w:rsid w:val="002B2A61"/>
    <w:rPr>
      <w:vertAlign w:val="superscript"/>
    </w:rPr>
  </w:style>
  <w:style w:type="paragraph" w:styleId="Header">
    <w:name w:val="header"/>
    <w:basedOn w:val="Normal"/>
    <w:link w:val="HeaderChar"/>
    <w:uiPriority w:val="99"/>
    <w:unhideWhenUsed/>
    <w:rsid w:val="000D3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F5"/>
  </w:style>
  <w:style w:type="paragraph" w:styleId="Footer">
    <w:name w:val="footer"/>
    <w:basedOn w:val="Normal"/>
    <w:link w:val="FooterChar"/>
    <w:uiPriority w:val="99"/>
    <w:unhideWhenUsed/>
    <w:rsid w:val="000D3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F5"/>
  </w:style>
  <w:style w:type="paragraph" w:styleId="NormalWeb">
    <w:name w:val="Normal (Web)"/>
    <w:basedOn w:val="Normal"/>
    <w:uiPriority w:val="99"/>
    <w:semiHidden/>
    <w:unhideWhenUsed/>
    <w:rsid w:val="00E40F2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1420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1F600A"/>
    <w:rPr>
      <w:color w:val="0563C1" w:themeColor="hyperlink"/>
      <w:u w:val="single"/>
    </w:rPr>
  </w:style>
  <w:style w:type="character" w:styleId="UnresolvedMention">
    <w:name w:val="Unresolved Mention"/>
    <w:basedOn w:val="DefaultParagraphFont"/>
    <w:uiPriority w:val="99"/>
    <w:semiHidden/>
    <w:unhideWhenUsed/>
    <w:rsid w:val="001F600A"/>
    <w:rPr>
      <w:color w:val="605E5C"/>
      <w:shd w:val="clear" w:color="auto" w:fill="E1DFDD"/>
    </w:rPr>
  </w:style>
  <w:style w:type="table" w:styleId="GridTable4-Accent5">
    <w:name w:val="Grid Table 4 Accent 5"/>
    <w:basedOn w:val="TableNormal"/>
    <w:uiPriority w:val="49"/>
    <w:rsid w:val="007654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76542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1067">
      <w:bodyDiv w:val="1"/>
      <w:marLeft w:val="0"/>
      <w:marRight w:val="0"/>
      <w:marTop w:val="0"/>
      <w:marBottom w:val="0"/>
      <w:divBdr>
        <w:top w:val="none" w:sz="0" w:space="0" w:color="auto"/>
        <w:left w:val="none" w:sz="0" w:space="0" w:color="auto"/>
        <w:bottom w:val="none" w:sz="0" w:space="0" w:color="auto"/>
        <w:right w:val="none" w:sz="0" w:space="0" w:color="auto"/>
      </w:divBdr>
    </w:div>
    <w:div w:id="307831000">
      <w:bodyDiv w:val="1"/>
      <w:marLeft w:val="0"/>
      <w:marRight w:val="0"/>
      <w:marTop w:val="0"/>
      <w:marBottom w:val="0"/>
      <w:divBdr>
        <w:top w:val="none" w:sz="0" w:space="0" w:color="auto"/>
        <w:left w:val="none" w:sz="0" w:space="0" w:color="auto"/>
        <w:bottom w:val="none" w:sz="0" w:space="0" w:color="auto"/>
        <w:right w:val="none" w:sz="0" w:space="0" w:color="auto"/>
      </w:divBdr>
    </w:div>
    <w:div w:id="318198225">
      <w:bodyDiv w:val="1"/>
      <w:marLeft w:val="0"/>
      <w:marRight w:val="0"/>
      <w:marTop w:val="0"/>
      <w:marBottom w:val="0"/>
      <w:divBdr>
        <w:top w:val="none" w:sz="0" w:space="0" w:color="auto"/>
        <w:left w:val="none" w:sz="0" w:space="0" w:color="auto"/>
        <w:bottom w:val="none" w:sz="0" w:space="0" w:color="auto"/>
        <w:right w:val="none" w:sz="0" w:space="0" w:color="auto"/>
      </w:divBdr>
    </w:div>
    <w:div w:id="365953895">
      <w:bodyDiv w:val="1"/>
      <w:marLeft w:val="0"/>
      <w:marRight w:val="0"/>
      <w:marTop w:val="0"/>
      <w:marBottom w:val="0"/>
      <w:divBdr>
        <w:top w:val="none" w:sz="0" w:space="0" w:color="auto"/>
        <w:left w:val="none" w:sz="0" w:space="0" w:color="auto"/>
        <w:bottom w:val="none" w:sz="0" w:space="0" w:color="auto"/>
        <w:right w:val="none" w:sz="0" w:space="0" w:color="auto"/>
      </w:divBdr>
    </w:div>
    <w:div w:id="747383127">
      <w:bodyDiv w:val="1"/>
      <w:marLeft w:val="0"/>
      <w:marRight w:val="0"/>
      <w:marTop w:val="0"/>
      <w:marBottom w:val="0"/>
      <w:divBdr>
        <w:top w:val="none" w:sz="0" w:space="0" w:color="auto"/>
        <w:left w:val="none" w:sz="0" w:space="0" w:color="auto"/>
        <w:bottom w:val="none" w:sz="0" w:space="0" w:color="auto"/>
        <w:right w:val="none" w:sz="0" w:space="0" w:color="auto"/>
      </w:divBdr>
    </w:div>
    <w:div w:id="959650914">
      <w:bodyDiv w:val="1"/>
      <w:marLeft w:val="0"/>
      <w:marRight w:val="0"/>
      <w:marTop w:val="0"/>
      <w:marBottom w:val="0"/>
      <w:divBdr>
        <w:top w:val="none" w:sz="0" w:space="0" w:color="auto"/>
        <w:left w:val="none" w:sz="0" w:space="0" w:color="auto"/>
        <w:bottom w:val="none" w:sz="0" w:space="0" w:color="auto"/>
        <w:right w:val="none" w:sz="0" w:space="0" w:color="auto"/>
      </w:divBdr>
    </w:div>
    <w:div w:id="1012683614">
      <w:bodyDiv w:val="1"/>
      <w:marLeft w:val="0"/>
      <w:marRight w:val="0"/>
      <w:marTop w:val="0"/>
      <w:marBottom w:val="0"/>
      <w:divBdr>
        <w:top w:val="none" w:sz="0" w:space="0" w:color="auto"/>
        <w:left w:val="none" w:sz="0" w:space="0" w:color="auto"/>
        <w:bottom w:val="none" w:sz="0" w:space="0" w:color="auto"/>
        <w:right w:val="none" w:sz="0" w:space="0" w:color="auto"/>
      </w:divBdr>
      <w:divsChild>
        <w:div w:id="732850555">
          <w:marLeft w:val="0"/>
          <w:marRight w:val="0"/>
          <w:marTop w:val="0"/>
          <w:marBottom w:val="0"/>
          <w:divBdr>
            <w:top w:val="none" w:sz="0" w:space="0" w:color="auto"/>
            <w:left w:val="none" w:sz="0" w:space="0" w:color="auto"/>
            <w:bottom w:val="none" w:sz="0" w:space="0" w:color="auto"/>
            <w:right w:val="none" w:sz="0" w:space="0" w:color="auto"/>
          </w:divBdr>
        </w:div>
      </w:divsChild>
    </w:div>
    <w:div w:id="1121611485">
      <w:bodyDiv w:val="1"/>
      <w:marLeft w:val="0"/>
      <w:marRight w:val="0"/>
      <w:marTop w:val="0"/>
      <w:marBottom w:val="0"/>
      <w:divBdr>
        <w:top w:val="none" w:sz="0" w:space="0" w:color="auto"/>
        <w:left w:val="none" w:sz="0" w:space="0" w:color="auto"/>
        <w:bottom w:val="none" w:sz="0" w:space="0" w:color="auto"/>
        <w:right w:val="none" w:sz="0" w:space="0" w:color="auto"/>
      </w:divBdr>
      <w:divsChild>
        <w:div w:id="1749157530">
          <w:marLeft w:val="0"/>
          <w:marRight w:val="0"/>
          <w:marTop w:val="0"/>
          <w:marBottom w:val="0"/>
          <w:divBdr>
            <w:top w:val="none" w:sz="0" w:space="0" w:color="auto"/>
            <w:left w:val="none" w:sz="0" w:space="0" w:color="auto"/>
            <w:bottom w:val="none" w:sz="0" w:space="0" w:color="auto"/>
            <w:right w:val="none" w:sz="0" w:space="0" w:color="auto"/>
          </w:divBdr>
        </w:div>
      </w:divsChild>
    </w:div>
    <w:div w:id="1507864475">
      <w:bodyDiv w:val="1"/>
      <w:marLeft w:val="0"/>
      <w:marRight w:val="0"/>
      <w:marTop w:val="0"/>
      <w:marBottom w:val="0"/>
      <w:divBdr>
        <w:top w:val="none" w:sz="0" w:space="0" w:color="auto"/>
        <w:left w:val="none" w:sz="0" w:space="0" w:color="auto"/>
        <w:bottom w:val="none" w:sz="0" w:space="0" w:color="auto"/>
        <w:right w:val="none" w:sz="0" w:space="0" w:color="auto"/>
      </w:divBdr>
    </w:div>
    <w:div w:id="1635255207">
      <w:bodyDiv w:val="1"/>
      <w:marLeft w:val="0"/>
      <w:marRight w:val="0"/>
      <w:marTop w:val="0"/>
      <w:marBottom w:val="0"/>
      <w:divBdr>
        <w:top w:val="none" w:sz="0" w:space="0" w:color="auto"/>
        <w:left w:val="none" w:sz="0" w:space="0" w:color="auto"/>
        <w:bottom w:val="none" w:sz="0" w:space="0" w:color="auto"/>
        <w:right w:val="none" w:sz="0" w:space="0" w:color="auto"/>
      </w:divBdr>
      <w:divsChild>
        <w:div w:id="1152334828">
          <w:marLeft w:val="0"/>
          <w:marRight w:val="0"/>
          <w:marTop w:val="0"/>
          <w:marBottom w:val="0"/>
          <w:divBdr>
            <w:top w:val="none" w:sz="0" w:space="0" w:color="auto"/>
            <w:left w:val="none" w:sz="0" w:space="0" w:color="auto"/>
            <w:bottom w:val="none" w:sz="0" w:space="0" w:color="auto"/>
            <w:right w:val="none" w:sz="0" w:space="0" w:color="auto"/>
          </w:divBdr>
        </w:div>
      </w:divsChild>
    </w:div>
    <w:div w:id="2061858471">
      <w:bodyDiv w:val="1"/>
      <w:marLeft w:val="0"/>
      <w:marRight w:val="0"/>
      <w:marTop w:val="0"/>
      <w:marBottom w:val="0"/>
      <w:divBdr>
        <w:top w:val="none" w:sz="0" w:space="0" w:color="auto"/>
        <w:left w:val="none" w:sz="0" w:space="0" w:color="auto"/>
        <w:bottom w:val="none" w:sz="0" w:space="0" w:color="auto"/>
        <w:right w:val="none" w:sz="0" w:space="0" w:color="auto"/>
      </w:divBdr>
      <w:divsChild>
        <w:div w:id="1721708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Citizenship Country as Share of Deportations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91C5-4FCE-883B-430FC2A89591}"/>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91C5-4FCE-883B-430FC2A89591}"/>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91C5-4FCE-883B-430FC2A89591}"/>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91C5-4FCE-883B-430FC2A89591}"/>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91C5-4FCE-883B-430FC2A89591}"/>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91C5-4FCE-883B-430FC2A8959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91C5-4FCE-883B-430FC2A89591}"/>
                </c:ext>
              </c:extLst>
            </c:dLbl>
            <c:dLbl>
              <c:idx val="1"/>
              <c:layout>
                <c:manualLayout>
                  <c:x val="-2.4943022513671822E-17"/>
                  <c:y val="2.424242424242419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91C5-4FCE-883B-430FC2A89591}"/>
                </c:ext>
              </c:extLst>
            </c:dLbl>
            <c:dLbl>
              <c:idx val="2"/>
              <c:layout>
                <c:manualLayout>
                  <c:x val="-4.0816326530612269E-2"/>
                  <c:y val="-9.6969696969697421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1C5-4FCE-883B-430FC2A89591}"/>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91C5-4FCE-883B-430FC2A89591}"/>
                </c:ext>
              </c:extLst>
            </c:dLbl>
            <c:dLbl>
              <c:idx val="4"/>
              <c:layout>
                <c:manualLayout>
                  <c:x val="2.4489795918367249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1C5-4FCE-883B-430FC2A89591}"/>
                </c:ext>
              </c:extLst>
            </c:dLbl>
            <c:dLbl>
              <c:idx val="5"/>
              <c:layout>
                <c:manualLayout>
                  <c:x val="9.5238095238095233E-2"/>
                  <c:y val="-9.6969696969697195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91C5-4FCE-883B-430FC2A89591}"/>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Mexico</c:v>
                </c:pt>
                <c:pt idx="1">
                  <c:v>Honduras</c:v>
                </c:pt>
                <c:pt idx="2">
                  <c:v>Guatemala</c:v>
                </c:pt>
                <c:pt idx="3">
                  <c:v>El Salvador</c:v>
                </c:pt>
                <c:pt idx="4">
                  <c:v>Jamaica</c:v>
                </c:pt>
                <c:pt idx="5">
                  <c:v>All Others</c:v>
                </c:pt>
              </c:strCache>
            </c:strRef>
          </c:cat>
          <c:val>
            <c:numRef>
              <c:f>Sheet1!$B$2:$B$7</c:f>
              <c:numCache>
                <c:formatCode>General</c:formatCode>
                <c:ptCount val="6"/>
                <c:pt idx="0">
                  <c:v>113697</c:v>
                </c:pt>
                <c:pt idx="1">
                  <c:v>9086</c:v>
                </c:pt>
                <c:pt idx="2">
                  <c:v>8610</c:v>
                </c:pt>
                <c:pt idx="3">
                  <c:v>6859</c:v>
                </c:pt>
                <c:pt idx="4">
                  <c:v>871</c:v>
                </c:pt>
                <c:pt idx="5">
                  <c:v>10484</c:v>
                </c:pt>
              </c:numCache>
            </c:numRef>
          </c:val>
          <c:extLst>
            <c:ext xmlns:c16="http://schemas.microsoft.com/office/drawing/2014/chart" uri="{C3380CC4-5D6E-409C-BE32-E72D297353CC}">
              <c16:uniqueId val="{00000000-91C5-4FCE-883B-430FC2A8959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0E9F7-3280-4BB7-B3E7-A25C31AF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11597</TotalTime>
  <Pages>13</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Mills</dc:creator>
  <cp:keywords/>
  <dc:description/>
  <cp:lastModifiedBy>Mary Mills</cp:lastModifiedBy>
  <cp:revision>546</cp:revision>
  <dcterms:created xsi:type="dcterms:W3CDTF">2019-03-31T23:13:00Z</dcterms:created>
  <dcterms:modified xsi:type="dcterms:W3CDTF">2019-05-11T02:22:00Z</dcterms:modified>
</cp:coreProperties>
</file>