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Company Director / Business Owner</w:t>
      </w:r>
    </w:p>
    <w:p>
      <w:r>
        <w:rPr>
          <w:i/>
          <w:color w:val="C00000"/>
          <w:sz w:val="20"/>
        </w:rPr>
        <w:t>[This variant reflects the Tokyo embassy's own published DTV requirements (also covers Marshall Islands): any document issued outside Japan or Thailand must include a certified English translation, notarized by an embassy or Ministry of Foreign Affairs — stricter than the generic checklist.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+ dividend declarations (official requirement)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