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David Okafor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British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>$27,740.00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28 February 2026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Personal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Nationwide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$27,740.00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303520" cy="3621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nationwide-dav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>As a self-employed web designer trading as Okafor Digital, my business income for the last tax year was $77,700.00 (net profit $60,750.00) per my tax return.</w:t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291840" cy="1846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302-dav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664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3291840" cy="1926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-fernwood-dav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2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Nationwide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$27,740.00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956,530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$27,740.00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THB 956,530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Business current — Starling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$11,820.00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407,790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>1 USD = 34.50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Appendix B: invoices and SA302 tax calculation</w:t>
      </w:r>
      <w:r>
        <w:rPr>
          <w:rFonts w:ascii="Arial" w:cs="Arial" w:eastAsia="Arial" w:hAnsi="Arial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Appendix C: business account statements — Okafor Digital (Starling)</w:t>
      </w:r>
      <w:r>
        <w:rPr>
          <w:rFonts w:ascii="Arial" w:cs="Arial" w:eastAsia="Arial" w:hAnsi="Arial"/>
        </w:rPr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David Okafor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2026-07-15T05:47:53.109Z</dcterms:created>
  <dcterms:modified xsi:type="dcterms:W3CDTF">2026-07-15T05:47:53.109Z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