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Content Creator / Influencer</w:t>
      </w:r>
    </w:p>
    <w:p>
      <w:r>
        <w:rPr>
          <w:i/>
          <w:color w:val="C00000"/>
          <w:sz w:val="20"/>
        </w:rPr>
        <w:t>[This variant reflects the Washington D.C. embassy's own published DTV requirements, not just the generic figure: financial evidence of at least $16,000 USD must be present in EACH of the last 3 monthly bank statements — not just the final balance. Fee: $400. Employment proof must be a hand-signed letter from HR or a manager; pay stubs alone are not accepted. Non-US citizens need extra residency/visa documents.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plus your platform and brand income with an end-to-end paper trail: contract → invoice → bank deposit.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Platform revenue dashboard + one full brand-deal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Platform revenue statements (AdSense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contracts + invoices + matching deposits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Content Creator / Influencer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Creator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My income comes from platform revenue and brand partnerships, all from entities outside Thailand: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318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[PLATFORM]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[BRAND DEAL 2 (or delete)]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[PERIOD]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[EVIDENCE]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Revenue and deal-chain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platform revenue dashboard + one full brand-deal chain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Platform revenue dashboard + one full brand-deal chain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Revenue dashboard screenshot plus the matching contract, invoice, and bank deposit for one deal,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Content Creator / Influencer</dc:title>
  <dc:creator>DTV Guide</dc:creator>
  <cp:lastModifiedBy>Un-named</cp:lastModifiedBy>
  <cp:revision>1</cp:revision>
  <dcterms:created xsi:type="dcterms:W3CDTF">2026-07-15T05:47:53.159Z</dcterms:created>
  <dcterms:modified xsi:type="dcterms:W3CDTF">2026-07-15T05:47:53.159Z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