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rFonts w:ascii="Arial" w:cs="Arial" w:eastAsia="Arial" w:hAnsi="Arial"/>
          <w:b/>
          <w:bCs/>
          <w:color w:val="1F3864"/>
          <w:sz w:val="32"/>
        </w:rPr>
        <w:t xml:space="preserve">Proof of Funds</w:t>
      </w:r>
    </w:p>
    <w:p>
      <w:pPr>
        <w:spacing w:after="120"/>
      </w:pPr>
      <w:r>
        <w:rPr>
          <w:rFonts w:ascii="Arial" w:cs="Arial" w:eastAsia="Arial" w:hAnsi="Arial"/>
          <w:b/>
          <w:bCs/>
          <w:color w:val="595959"/>
        </w:rPr>
        <w:t xml:space="preserve">Employed (Full-Time)</w:t>
      </w:r>
    </w:p>
    <w:p>
      <w:pPr>
        <w:pBdr>
          <w:bottom w:val="single" w:color="1F3864" w:sz="8" w:space="1"/>
        </w:pBdr>
      </w:pPr>
    </w:p>
    <w:p>
      <w:pPr>
        <w:pStyle w:val="Heading2"/>
      </w:pPr>
      <w:r>
        <w:rPr>
          <w:rFonts w:ascii="Arial" w:cs="Arial" w:eastAsia="Arial" w:hAnsi="Arial"/>
          <w:b/>
          <w:color w:val="1F3864"/>
          <w:sz w:val="26"/>
        </w:rPr>
        <w:t xml:space="preserve">Applicant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7080"/>
      </w:tblGrid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Full name</w:t>
            </w:r>
          </w:p>
        </w:tc>
        <w:tc>
          <w:tcPr>
            <w:tcW w:type="dxa" w:w="70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</w:rPr>
              <w:t xml:space="preserve">Sarah Jane Mitchell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Nationality</w:t>
            </w:r>
          </w:p>
        </w:tc>
        <w:tc>
          <w:tcPr>
            <w:tcW w:type="dxa" w:w="70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</w:rPr>
              <w:t xml:space="preserve">British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Date prepared</w:t>
            </w:r>
          </w:p>
        </w:tc>
        <w:tc>
          <w:tcPr>
            <w:tcW w:type="dxa" w:w="70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</w:rPr>
              <w:t xml:space="preserve">1 March 2026</w:t>
            </w:r>
          </w:p>
        </w:tc>
      </w:tr>
    </w:tbl>
    <w:p>
      <w:pPr>
        <w:pStyle w:val="Heading2"/>
      </w:pPr>
      <w:r>
        <w:rPr>
          <w:rFonts w:ascii="Arial" w:cs="Arial" w:eastAsia="Arial" w:hAnsi="Arial"/>
          <w:b/>
          <w:color w:val="1F3864"/>
          <w:sz w:val="26"/>
        </w:rPr>
        <w:t xml:space="preserve">Section A — Personal Funds</w:t>
      </w:r>
    </w:p>
    <w:p>
      <w:pPr>
        <w:spacing w:after="120"/>
      </w:pPr>
      <w:r>
        <w:rPr>
          <w:rFonts w:ascii="Arial" w:cs="Arial" w:eastAsia="Arial" w:hAnsi="Arial"/>
        </w:rPr>
        <w:t xml:space="preserve">I hold personal funds totalling </w:t>
      </w:r>
      <w:r>
        <w:rPr>
          <w:rFonts w:ascii="Arial" w:cs="Arial" w:eastAsia="Arial" w:hAnsi="Arial"/>
        </w:rPr>
        <w:t xml:space="preserve">£23,410.55</w:t>
      </w:r>
      <w:r>
        <w:rPr>
          <w:rFonts w:ascii="Arial" w:cs="Arial" w:eastAsia="Arial" w:hAnsi="Arial"/>
        </w:rPr>
        <w:t xml:space="preserve"> as at </w:t>
      </w:r>
      <w:r>
        <w:rPr>
          <w:rFonts w:ascii="Arial" w:cs="Arial" w:eastAsia="Arial" w:hAnsi="Arial"/>
        </w:rPr>
        <w:t xml:space="preserve">28 February 2026</w:t>
      </w:r>
      <w:r>
        <w:rPr>
          <w:rFonts w:ascii="Arial" w:cs="Arial" w:eastAsia="Arial" w:hAnsi="Arial"/>
        </w:rPr>
        <w:t xml:space="preserve">, held as follows: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3400"/>
        <w:gridCol w:w="3480"/>
      </w:tblGrid>
      <w:t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Account</w:t>
            </w:r>
          </w:p>
        </w:tc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Institution</w:t>
            </w:r>
          </w:p>
        </w:tc>
        <w:tc>
          <w:tcPr>
            <w:tcW w:type="dxa" w:w="3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Balance</w:t>
            </w:r>
          </w:p>
        </w:tc>
      </w:tr>
      <w:t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</w:rPr>
              <w:t xml:space="preserve">Instant-access savings</w:t>
            </w:r>
          </w:p>
        </w:tc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</w:rPr>
              <w:t xml:space="preserve">First Direct</w:t>
            </w:r>
          </w:p>
        </w:tc>
        <w:tc>
          <w:tcPr>
            <w:tcW w:type="dxa" w:w="3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</w:rPr>
              <w:t xml:space="preserve">£18,220.13</w:t>
            </w:r>
          </w:p>
        </w:tc>
      </w:tr>
      <w:t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F4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</w:rPr>
              <w:t xml:space="preserve">Fixed-term saver</w:t>
            </w:r>
          </w:p>
        </w:tc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F4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</w:rPr>
              <w:t xml:space="preserve">Barclays</w:t>
            </w:r>
          </w:p>
        </w:tc>
        <w:tc>
          <w:tcPr>
            <w:tcW w:type="dxa" w:w="3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F4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</w:rPr>
              <w:t xml:space="preserve">£5,190.42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</w:rPr>
        <w:drawing>
          <wp:inline xmlns:a="http://schemas.openxmlformats.org/drawingml/2006/main" xmlns:pic="http://schemas.openxmlformats.org/drawingml/2006/picture">
            <wp:extent cx="3291840" cy="22480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nk-firstdirect-sarah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291840" cy="2248086"/>
                    </a:xfrm>
                    <a:prstGeom prst="rect"/>
                  </pic:spPr>
                </pic:pic>
              </a:graphicData>
            </a:graphic>
          </wp:inline>
        </w:drawing>
      </w:r>
      <w:r>
        <w:br/>
      </w:r>
      <w:r>
        <w:drawing>
          <wp:inline xmlns:a="http://schemas.openxmlformats.org/drawingml/2006/main" xmlns:pic="http://schemas.openxmlformats.org/drawingml/2006/picture">
            <wp:extent cx="3291840" cy="224808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nk-barclays-sarah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291840" cy="22480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rFonts w:ascii="Arial" w:cs="Arial" w:eastAsia="Arial" w:hAnsi="Arial"/>
          <w:b/>
          <w:color w:val="1F3864"/>
          <w:sz w:val="26"/>
        </w:rPr>
        <w:t xml:space="preserve">Section B — Regular Income</w:t>
      </w:r>
    </w:p>
    <w:p>
      <w:pPr>
        <w:spacing w:after="120"/>
      </w:pPr>
      <w:r>
        <w:rPr>
          <w:rFonts w:ascii="Arial" w:cs="Arial" w:eastAsia="Arial" w:hAnsi="Arial"/>
        </w:rPr>
        <w:t xml:space="preserve">I receive a gross monthly salary of </w:t>
      </w:r>
      <w:r>
        <w:rPr>
          <w:rFonts w:ascii="Arial" w:cs="Arial" w:eastAsia="Arial" w:hAnsi="Arial"/>
        </w:rPr>
        <w:t xml:space="preserve">£4,350.00</w:t>
      </w:r>
      <w:r>
        <w:rPr>
          <w:rFonts w:ascii="Arial" w:cs="Arial" w:eastAsia="Arial" w:hAnsi="Arial"/>
        </w:rPr>
        <w:t xml:space="preserve"> from </w:t>
      </w:r>
      <w:r>
        <w:rPr>
          <w:rFonts w:ascii="Arial" w:cs="Arial" w:eastAsia="Arial" w:hAnsi="Arial"/>
        </w:rPr>
        <w:t xml:space="preserve">Northgate Insights Ltd</w:t>
      </w:r>
      <w:r>
        <w:rPr>
          <w:rFonts w:ascii="Arial" w:cs="Arial" w:eastAsia="Arial" w:hAnsi="Arial"/>
        </w:rPr>
        <w:t xml:space="preserve">, paid into my current account. See attached payslips and the Salary &amp; Tax Confirmation Letter.</w:t>
      </w:r>
    </w:p>
    <w:p>
      <w:pPr>
        <w:spacing w:after="120"/>
      </w:pPr>
      <w:r>
        <w:rPr>
          <w:rFonts w:ascii="Arial" w:cs="Arial" w:eastAsia="Arial" w:hAnsi="Arial"/>
        </w:rPr>
        <w:drawing>
          <wp:inline xmlns:a="http://schemas.openxmlformats.org/drawingml/2006/main" xmlns:pic="http://schemas.openxmlformats.org/drawingml/2006/picture">
            <wp:extent cx="5303520" cy="31045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yslip-sarah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104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rFonts w:ascii="Arial" w:cs="Arial" w:eastAsia="Arial" w:hAnsi="Arial"/>
          <w:b/>
          <w:color w:val="1F3864"/>
          <w:sz w:val="26"/>
        </w:rPr>
        <w:t xml:space="preserve">Funds Summary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2900"/>
        <w:gridCol w:w="2980"/>
      </w:tblGrid>
      <w:t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Source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Amount</w:t>
            </w:r>
          </w:p>
        </w:tc>
        <w:tc>
          <w:tcPr>
            <w:tcW w:type="dxa" w:w="2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THB equivalent</w:t>
            </w:r>
          </w:p>
        </w:tc>
      </w:tr>
      <w:t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</w:rPr>
              <w:t xml:space="preserve">First Direct savings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</w:rPr>
              <w:t xml:space="preserve">£18,220.13</w:t>
            </w:r>
          </w:p>
        </w:tc>
        <w:tc>
          <w:tcPr>
            <w:tcW w:type="dxa" w:w="2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</w:rPr>
              <w:t xml:space="preserve">THB 773,446</w:t>
            </w:r>
          </w:p>
        </w:tc>
      </w:tr>
      <w:t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F4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</w:rPr>
              <w:t xml:space="preserve">Barclays fixed saver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F4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</w:rPr>
              <w:t xml:space="preserve">£5,190.42</w:t>
            </w:r>
          </w:p>
        </w:tc>
        <w:tc>
          <w:tcPr>
            <w:tcW w:type="dxa" w:w="2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F4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</w:rPr>
              <w:t xml:space="preserve">THB 220,333</w:t>
            </w:r>
          </w:p>
        </w:tc>
      </w:tr>
      <w:t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PERSONAL TOTAL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</w:rPr>
              <w:t xml:space="preserve">£23,410.55</w:t>
            </w:r>
          </w:p>
        </w:tc>
        <w:tc>
          <w:tcPr>
            <w:tcW w:type="dxa" w:w="2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</w:rPr>
              <w:t xml:space="preserve">THB 993,779</w:t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i/>
          <w:iCs/>
          <w:sz w:val="18"/>
          <w:szCs w:val="18"/>
        </w:rPr>
        <w:t xml:space="preserve">Exchange rate: </w:t>
      </w:r>
      <w:r>
        <w:rPr>
          <w:rFonts w:ascii="Arial" w:cs="Arial" w:eastAsia="Arial" w:hAnsi="Arial"/>
          <w:sz w:val="18"/>
          <w:szCs w:val="18"/>
        </w:rPr>
        <w:t xml:space="preserve">1 GBP = 42.45 THB (mid-market, 1 March 2026)</w:t>
      </w:r>
      <w:r>
        <w:rPr>
          <w:rFonts w:ascii="Arial" w:cs="Arial" w:eastAsia="Arial" w:hAnsi="Arial"/>
          <w:i/>
          <w:iCs/>
          <w:sz w:val="18"/>
          <w:szCs w:val="18"/>
        </w:rPr>
        <w:t xml:space="preserve"> — personal funds alone exceed the THB 500,000 DTV requirement.</w:t>
      </w:r>
    </w:p>
    <w:p>
      <w:pPr>
        <w:pStyle w:val="Heading2"/>
      </w:pPr>
      <w:r>
        <w:rPr>
          <w:rFonts w:ascii="Arial" w:cs="Arial" w:eastAsia="Arial" w:hAnsi="Arial"/>
          <w:b/>
          <w:color w:val="1F3864"/>
          <w:sz w:val="26"/>
        </w:rPr>
        <w:t xml:space="preserve">Appendices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</w:rPr>
        <w:t xml:space="preserve">Appendix A: personal bank statements, </w:t>
      </w:r>
      <w:r>
        <w:rPr>
          <w:rFonts w:ascii="Arial" w:cs="Arial" w:eastAsia="Arial" w:hAnsi="Arial"/>
        </w:rPr>
        <w:t xml:space="preserve">September 2025</w:t>
      </w:r>
      <w:r>
        <w:rPr>
          <w:rFonts w:ascii="Arial" w:cs="Arial" w:eastAsia="Arial" w:hAnsi="Arial"/>
        </w:rPr>
        <w:t xml:space="preserve"> – </w:t>
      </w:r>
      <w:r>
        <w:rPr>
          <w:rFonts w:ascii="Arial" w:cs="Arial" w:eastAsia="Arial" w:hAnsi="Arial"/>
        </w:rPr>
        <w:t xml:space="preserve">February 2026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</w:rPr>
        <w:t xml:space="preserve">Appendix B: </w:t>
      </w:r>
      <w:r>
        <w:rPr>
          <w:rFonts w:ascii="Arial" w:cs="Arial" w:eastAsia="Arial" w:hAnsi="Arial"/>
        </w:rPr>
        <w:t xml:space="preserve">payslips and dividend declarations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</w:rPr>
        <w:t xml:space="preserve">Appendix C: company/business account statements</w:t>
      </w:r>
      <w:r>
        <w:rPr>
          <w:rFonts w:ascii="Arial" w:cs="Arial" w:eastAsia="Arial" w:hAnsi="Arial"/>
        </w:rPr>
        <w:t xml:space="preserve"> — Wong Media Ltd and Bright Loop Ltd</w:t>
      </w:r>
    </w:p>
    <w:p>
      <w:pPr>
        <w:pStyle w:val="Heading2"/>
      </w:pPr>
      <w:r>
        <w:rPr>
          <w:rFonts w:ascii="Arial" w:cs="Arial" w:eastAsia="Arial" w:hAnsi="Arial"/>
          <w:b/>
          <w:color w:val="1F3864"/>
          <w:sz w:val="26"/>
        </w:rPr>
        <w:t xml:space="preserve">Declaration</w:t>
      </w:r>
    </w:p>
    <w:p>
      <w:pPr>
        <w:spacing w:after="120"/>
      </w:pPr>
      <w:r>
        <w:rPr>
          <w:rFonts w:ascii="Arial" w:cs="Arial" w:eastAsia="Arial" w:hAnsi="Arial"/>
        </w:rPr>
        <w:t xml:space="preserve">I declare that the funds and income presented above are genuinely held by me (or by companies I direct, where stated), that the attached statements are unaltered originals, and that all figures match those statements exactly.</w:t>
      </w:r>
    </w:p>
    <w:p>
      <w:pPr>
        <w:spacing w:before="240"/>
      </w:pPr>
      <w:r>
        <w:rPr>
          <w:rFonts w:ascii="Arial" w:cs="Arial" w:eastAsia="Arial" w:hAnsi="Arial"/>
        </w:rPr>
        <w:t xml:space="preserve">_______________________________</w:t>
      </w:r>
    </w:p>
    <w:p>
      <w:pPr>
        <w:spacing w:after="120"/>
      </w:pPr>
      <w:r>
        <w:rPr>
          <w:rFonts w:ascii="Arial" w:cs="Arial" w:eastAsia="Arial" w:hAnsi="Arial"/>
        </w:rPr>
        <w:t xml:space="preserve">Sarah Jane Mitchell</w:t>
      </w:r>
      <w:r>
        <w:rPr>
          <w:rFonts w:ascii="Arial" w:cs="Arial" w:eastAsia="Arial" w:hAnsi="Arial"/>
          <w:i/>
          <w:iCs/>
          <w:color w:val="595959"/>
          <w:sz w:val="18"/>
          <w:szCs w:val="18"/>
        </w:rPr>
        <w:t xml:space="preserve"> — printed name</w:t>
      </w:r>
    </w:p>
    <w:p>
      <w:pPr>
        <w:spacing w:after="120"/>
      </w:pPr>
      <w:r>
        <w:rPr>
          <w:rFonts w:ascii="Arial" w:cs="Arial" w:eastAsia="Arial" w:hAnsi="Arial"/>
          <w:b/>
          <w:bCs/>
        </w:rPr>
        <w:t xml:space="preserve">Date: </w:t>
      </w:r>
      <w:r>
        <w:rPr>
          <w:rFonts w:ascii="Arial" w:cs="Arial" w:eastAsia="Arial" w:hAnsi="Arial"/>
        </w:rPr>
        <w:t xml:space="preserve">1 March 2026</w:t>
      </w:r>
    </w:p>
    <w:p>
      <w:pPr>
        <w:spacing w:before="240"/>
      </w:pPr>
      <w:r>
        <w:rPr>
          <w:rFonts w:ascii="Arial" w:cs="Arial" w:eastAsia="Arial" w:hAnsi="Arial"/>
          <w:i/>
          <w:iCs/>
          <w:color w:val="595959"/>
          <w:sz w:val="18"/>
          <w:szCs w:val="18"/>
        </w:rPr>
        <w:t xml:space="preserve">WORKED EXAMPLE — fictional persona and figures for format reference only. Do not copy any details.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40"/>
      <w:outlineLvl w:val="0"/>
    </w:pPr>
    <w:rPr>
      <w:rFonts w:ascii="Arial" w:cs="Arial" w:eastAsia="Arial" w:hAnsi="Arial"/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00"/>
      <w:outlineLvl w:val="1"/>
    </w:pPr>
    <w:rPr>
      <w:rFonts w:ascii="Arial" w:cs="Arial" w:eastAsia="Arial" w:hAnsi="Arial"/>
      <w:b/>
      <w:bCs/>
      <w:color w:val="1F3864"/>
      <w:sz w:val="26"/>
      <w:szCs w:val="26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Relationship Id="rId8" Type="http://schemas.openxmlformats.org/officeDocument/2006/relationships/image" Target="media/image1.png"/><Relationship Id="rId9" Type="http://schemas.openxmlformats.org/officeDocument/2006/relationships/image" Target="media/image2.png"/><Relationship Id="rId10" Type="http://schemas.openxmlformats.org/officeDocument/2006/relationships/image" Target="media/image3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 of Funds — Employed (Full-Time)</dc:title>
  <dc:creator>DTV Guide</dc:creator>
  <cp:lastModifiedBy>Un-named</cp:lastModifiedBy>
  <cp:revision>1</cp:revision>
  <dcterms:created xsi:type="dcterms:W3CDTF">2026-07-15T05:47:52.390Z</dcterms:created>
  <dcterms:modified xsi:type="dcterms:W3CDTF">2026-07-15T05:47:52.390Z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