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Employed (Full-Time)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savings and salary income in one organised document, with statement evidence, proving you exceed the ≈ THB 500,000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Latest payslip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3-6 months of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Latest payslips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Savings/investment account statements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Employed (Full-Time)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, held as follows: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(or delete row)]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Regular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receive a gross monthly salary of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[GROSS MONTHLY SALARY]</w:t>
      </w:r>
      <w:r>
        <w:rPr>
          <w:rFonts w:ascii="Arial" w:cs="Arial" w:eastAsia="Arial" w:hAnsi="Arial"/>
        </w:rPr>
        <w:t xml:space="preserve"> from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[EMPLOYER]</w:t>
      </w:r>
      <w:r>
        <w:rPr>
          <w:rFonts w:ascii="Arial" w:cs="Arial" w:eastAsia="Arial" w:hAnsi="Arial"/>
        </w:rPr>
        <w:t xml:space="preserve">, paid into my current account. See attached payslips and the Salary &amp; Tax Confirmation Letter.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Latest payslip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 1]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 2 (or delete)]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latest payslip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months, both accounts. Closing balances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Latest payslip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payslip,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you hold a separate company/business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Employed (Full-Time)</dc:title>
  <dc:creator>DTV Guide</dc:creator>
  <cp:lastModifiedBy>Un-named</cp:lastModifiedBy>
  <cp:revision>1</cp:revision>
  <dcterms:created xsi:type="dcterms:W3CDTF">2026-07-15T05:47:52.250Z</dcterms:created>
  <dcterms:modified xsi:type="dcterms:W3CDTF">2026-07-15T05:47:52.252Z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