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David Okafor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British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 xml:space="preserve">£21,844.09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28 February 2026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Personal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Nationwide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£21,844.09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drawing>
          <wp:inline xmlns:a="http://schemas.openxmlformats.org/drawingml/2006/main" xmlns:pic="http://schemas.openxmlformats.org/drawingml/2006/picture">
            <wp:extent cx="5303520" cy="3621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nationwide-dav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</w:rPr>
        <w:t xml:space="preserve">web designer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</w:rPr>
        <w:t xml:space="preserve">Okafor Digital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</w:rPr>
        <w:t xml:space="preserve">£61,200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</w:rPr>
        <w:t xml:space="preserve">£47,850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</w:rPr>
        <w:drawing>
          <wp:inline xmlns:a="http://schemas.openxmlformats.org/drawingml/2006/main" xmlns:pic="http://schemas.openxmlformats.org/drawingml/2006/picture">
            <wp:extent cx="3291840" cy="1846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302-dav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664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291840" cy="1926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-fernwood-dav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2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Nationwide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£21,844.09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927,282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£21,844.09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THB 927,282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Business current — Starling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£9,310.66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395,238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 xml:space="preserve">1 GBP = 42.45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B: </w:t>
      </w:r>
      <w:r>
        <w:rPr>
          <w:rFonts w:ascii="Arial" w:cs="Arial" w:eastAsia="Arial" w:hAnsi="Arial"/>
        </w:rPr>
        <w:t xml:space="preserve">payslips and dividend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C: company/business account statements</w:t>
      </w:r>
      <w:r>
        <w:rPr>
          <w:rFonts w:ascii="Arial" w:cs="Arial" w:eastAsia="Arial" w:hAnsi="Arial"/>
        </w:rPr>
        <w:t xml:space="preserve"> — Wong Media Ltd and Bright Loop Ltd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David Okafor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2026-07-15T05:47:53.109Z</dcterms:created>
  <dcterms:modified xsi:type="dcterms:W3CDTF">2026-07-15T05:47:53.109Z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