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tulo"/>
      </w:pPr>
      <w:r>
        <w:t>Pauta Actividad 7: Isométrico</w:t>
      </w:r>
    </w:p>
    <w:p>
      <w:pPr>
        <w:pStyle w:val="Subttulo"/>
      </w:pPr>
      <w:r>
        <w:t>Solución y puntaje · uso del docente</w:t>
      </w:r>
    </w:p>
    <w:p>
      <w:pPr/>
      <w:r>
        <w:rPr>
          <w:b w:val="0"/>
        </w:rPr>
        <w:t>Puntaje total: 100 puntos (Pieza 1: 25, Pieza 2: 30, Pieza 3: 45). Las soluciones están dibujadas sobre una retícula isométrica de 10 mm, vistas desde el frente, la izquierda y arriba. Las anotaciones en azul son comentarios de corrección. Acepte también la vista desde la derecha si el dibujo es coherente con las vistas dadas.</w:t>
      </w:r>
    </w:p>
    <w:p>
      <w:pPr>
        <w:pStyle w:val="Ttulo1"/>
      </w:pPr>
      <w:r>
        <w:t>Piezas 1 y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17861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la_A7_p1_escalonada_solucion_A7_p2_plano_inclinado_soluc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786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jc w:val="center"/>
      </w:pPr>
      <w:r>
        <w:t>Figura 1. Solución de la pieza 1 (izquierda) y de la pieza 2 (derecha).</w:t>
      </w:r>
    </w:p>
    <w:p>
      <w:pPr>
        <w:spacing w:after="20"/>
        <w:ind w:left="432" w:hanging="288"/>
      </w:pPr>
      <w:r>
        <w:rPr>
          <w:b w:val="0"/>
        </w:rPr>
        <w:t>•</w:t>
        <w:tab/>
        <w:t>Pieza 1: tres niveles a 10, 25 y 40 de altura. El bloque superior ocupa solo la mitad del fondo.</w:t>
      </w:r>
    </w:p>
    <w:p>
      <w:pPr>
        <w:spacing w:after="20"/>
        <w:ind w:left="432" w:hanging="288"/>
      </w:pPr>
      <w:r>
        <w:rPr>
          <w:b w:val="0"/>
        </w:rPr>
        <w:t>•</w:t>
        <w:tab/>
        <w:t>Pieza 2: el plano inclinado va de (X = 5, Z = 15) a (X = 35, Z = 40). Sus aristas no son isométricas, por lo que su largo no se mide: resultan de unir los extremos.</w:t>
      </w:r>
    </w:p>
    <w:p>
      <w:pPr>
        <w:spacing w:after="20"/>
        <w:ind w:left="432" w:hanging="288"/>
      </w:pPr>
      <w:r>
        <w:rPr>
          <w:b w:val="0"/>
        </w:rPr>
        <w:t>•</w:t>
        <w:tab/>
        <w:t>Pieza 2: el fondo de la ranura (Z = 30) corta al plano inclinado en X = 23. Ese punto se obtiene en el dibujo, no se mide.</w:t>
      </w:r>
    </w:p>
    <w:p>
      <w:pPr>
        <w:pStyle w:val="Ttulo1"/>
      </w:pPr>
      <w:r>
        <w:t>Pieza 3: soporte con respaldo redondeado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7730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7_p3_soporte_respaldo_soluc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730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jc w:val="center"/>
      </w:pPr>
      <w:r>
        <w:t>Figura 2. Solución de la pieza 3.</w:t>
      </w:r>
    </w:p>
    <w:p>
      <w:pPr>
        <w:spacing w:after="20"/>
        <w:ind w:left="432" w:hanging="288"/>
      </w:pPr>
      <w:r>
        <w:rPr>
          <w:b w:val="0"/>
        </w:rPr>
        <w:t>•</w:t>
        <w:tab/>
        <w:t>Agujero Ø10: elipse en el isoplano horizontal, centrada a 20 del costado y a 40 del fondo. No se ve su borde inferior.</w:t>
      </w:r>
    </w:p>
    <w:p>
      <w:pPr>
        <w:spacing w:after="20"/>
        <w:ind w:left="432" w:hanging="288"/>
      </w:pPr>
      <w:r>
        <w:rPr>
          <w:b w:val="0"/>
        </w:rPr>
        <w:t>•</w:t>
        <w:tab/>
        <w:t>Respaldo: dos semielipses R20 (cara delantera y cara trasera) unidas por una recta tangente en la dirección de la profundidad. La cara trasera solo se ve en parte.</w:t>
      </w:r>
    </w:p>
    <w:p>
      <w:pPr>
        <w:spacing w:after="20"/>
        <w:ind w:left="432" w:hanging="288"/>
      </w:pPr>
      <w:r>
        <w:rPr>
          <w:b w:val="0"/>
        </w:rPr>
        <w:t>•</w:t>
        <w:tab/>
        <w:t>Agujero Ø20: elipse completa en la cara delantera. A través del agujero se ve un arco del borde trasero.</w:t>
      </w:r>
    </w:p>
    <w:p>
      <w:pPr>
        <w:spacing w:after="20"/>
        <w:ind w:left="432" w:hanging="288"/>
      </w:pPr>
      <w:r>
        <w:rPr>
          <w:b w:val="0"/>
        </w:rPr>
        <w:t>•</w:t>
        <w:tab/>
        <w:t>Los arcos nacen a la altura 30, tangentes a las aristas verticales del respaldo.</w:t>
      </w:r>
    </w:p>
    <w:p>
      <w:pPr>
        <w:pStyle w:val="Ttulo1"/>
      </w:pPr>
      <w:r>
        <w:t>Tabla de puntaje</w:t>
      </w:r>
    </w:p>
    <w:tbl>
      <w:tblPr>
        <w:tblStyle w:val="Table"/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5112"/>
        <w:gridCol w:w="936"/>
        <w:gridCol w:w="936"/>
        <w:gridCol w:w="936"/>
        <w:gridCol w:w="792"/>
      </w:tblGrid>
      <w:tr>
        <w:tc>
          <w:tcPr>
            <w:tcW w:type="dxa" w:w="792"/>
          </w:tcPr>
          <w:p>
            <w:pPr>
              <w:spacing w:after="0" w:before="0"/>
              <w:jc w:val="left"/>
            </w:pPr>
            <w:r>
              <w:rPr>
                <w:sz w:val="19"/>
              </w:rPr>
              <w:t>Crit.</w:t>
            </w:r>
          </w:p>
        </w:tc>
        <w:tc>
          <w:tcPr>
            <w:tcW w:type="dxa" w:w="5112"/>
          </w:tcPr>
          <w:p>
            <w:pPr>
              <w:spacing w:after="0" w:before="0"/>
              <w:jc w:val="left"/>
            </w:pPr>
            <w:r>
              <w:rPr>
                <w:sz w:val="19"/>
              </w:rPr>
              <w:t>Qué se exige</w:t>
            </w:r>
          </w:p>
        </w:tc>
        <w:tc>
          <w:tcPr>
            <w:tcW w:type="dxa" w:w="936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Pieza 1</w:t>
            </w:r>
          </w:p>
        </w:tc>
        <w:tc>
          <w:tcPr>
            <w:tcW w:type="dxa" w:w="936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Pieza 2</w:t>
            </w:r>
          </w:p>
        </w:tc>
        <w:tc>
          <w:tcPr>
            <w:tcW w:type="dxa" w:w="936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Pieza 3</w:t>
            </w:r>
          </w:p>
        </w:tc>
        <w:tc>
          <w:tcPr>
            <w:tcW w:type="dxa" w:w="792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Total</w:t>
            </w:r>
          </w:p>
        </w:tc>
      </w:tr>
      <w:tr>
        <w:tc>
          <w:tcPr>
            <w:tcW w:type="dxa" w:w="792"/>
          </w:tcPr>
          <w:p>
            <w:pPr>
              <w:spacing w:after="0" w:before="0"/>
              <w:jc w:val="left"/>
            </w:pPr>
            <w:r>
              <w:rPr>
                <w:sz w:val="19"/>
              </w:rPr>
              <w:t>I1</w:t>
            </w:r>
          </w:p>
        </w:tc>
        <w:tc>
          <w:tcPr>
            <w:tcW w:type="dxa" w:w="5112"/>
          </w:tcPr>
          <w:p>
            <w:pPr>
              <w:spacing w:after="0" w:before="0"/>
              <w:jc w:val="left"/>
            </w:pPr>
            <w:r>
              <w:rPr>
                <w:sz w:val="19"/>
              </w:rPr>
              <w:t>Ejes isométricos a 30° y verticales</w:t>
            </w:r>
          </w:p>
        </w:tc>
        <w:tc>
          <w:tcPr>
            <w:tcW w:type="dxa" w:w="936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type="dxa" w:w="936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936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792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16</w:t>
            </w:r>
          </w:p>
        </w:tc>
      </w:tr>
      <w:tr>
        <w:tc>
          <w:tcPr>
            <w:tcW w:type="dxa" w:w="792"/>
          </w:tcPr>
          <w:p>
            <w:pPr>
              <w:spacing w:after="0" w:before="0"/>
              <w:jc w:val="left"/>
            </w:pPr>
            <w:r>
              <w:rPr>
                <w:sz w:val="19"/>
              </w:rPr>
              <w:t>I2</w:t>
            </w:r>
          </w:p>
        </w:tc>
        <w:tc>
          <w:tcPr>
            <w:tcW w:type="dxa" w:w="5112"/>
          </w:tcPr>
          <w:p>
            <w:pPr>
              <w:spacing w:after="0" w:before="0"/>
              <w:jc w:val="left"/>
            </w:pPr>
            <w:r>
              <w:rPr>
                <w:sz w:val="19"/>
              </w:rPr>
              <w:t>Medidas tomadas solo sobre direcciones isométricas</w:t>
            </w:r>
          </w:p>
        </w:tc>
        <w:tc>
          <w:tcPr>
            <w:tcW w:type="dxa" w:w="936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type="dxa" w:w="936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type="dxa" w:w="936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type="dxa" w:w="792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21</w:t>
            </w:r>
          </w:p>
        </w:tc>
      </w:tr>
      <w:tr>
        <w:tc>
          <w:tcPr>
            <w:tcW w:type="dxa" w:w="792"/>
          </w:tcPr>
          <w:p>
            <w:pPr>
              <w:spacing w:after="0" w:before="0"/>
              <w:jc w:val="left"/>
            </w:pPr>
            <w:r>
              <w:rPr>
                <w:sz w:val="19"/>
              </w:rPr>
              <w:t>I3</w:t>
            </w:r>
          </w:p>
        </w:tc>
        <w:tc>
          <w:tcPr>
            <w:tcW w:type="dxa" w:w="5112"/>
          </w:tcPr>
          <w:p>
            <w:pPr>
              <w:spacing w:after="0" w:before="0"/>
              <w:jc w:val="left"/>
            </w:pPr>
            <w:r>
              <w:rPr>
                <w:sz w:val="19"/>
              </w:rPr>
              <w:t>Planos inclinados resueltos uniendo extremos</w:t>
            </w:r>
          </w:p>
        </w:tc>
        <w:tc>
          <w:tcPr>
            <w:tcW w:type="dxa" w:w="936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936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type="dxa" w:w="936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792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8</w:t>
            </w:r>
          </w:p>
        </w:tc>
      </w:tr>
      <w:tr>
        <w:tc>
          <w:tcPr>
            <w:tcW w:type="dxa" w:w="792"/>
          </w:tcPr>
          <w:p>
            <w:pPr>
              <w:spacing w:after="0" w:before="0"/>
              <w:jc w:val="left"/>
            </w:pPr>
            <w:r>
              <w:rPr>
                <w:sz w:val="19"/>
              </w:rPr>
              <w:t>I4</w:t>
            </w:r>
          </w:p>
        </w:tc>
        <w:tc>
          <w:tcPr>
            <w:tcW w:type="dxa" w:w="5112"/>
          </w:tcPr>
          <w:p>
            <w:pPr>
              <w:spacing w:after="0" w:before="0"/>
              <w:jc w:val="left"/>
            </w:pPr>
            <w:r>
              <w:rPr>
                <w:sz w:val="19"/>
              </w:rPr>
              <w:t>Círculos como elipses en el isoplano correcto</w:t>
            </w:r>
          </w:p>
        </w:tc>
        <w:tc>
          <w:tcPr>
            <w:tcW w:type="dxa" w:w="936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936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936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14</w:t>
            </w:r>
          </w:p>
        </w:tc>
        <w:tc>
          <w:tcPr>
            <w:tcW w:type="dxa" w:w="792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14</w:t>
            </w:r>
          </w:p>
        </w:tc>
      </w:tr>
      <w:tr>
        <w:tc>
          <w:tcPr>
            <w:tcW w:type="dxa" w:w="792"/>
          </w:tcPr>
          <w:p>
            <w:pPr>
              <w:spacing w:after="0" w:before="0"/>
              <w:jc w:val="left"/>
            </w:pPr>
            <w:r>
              <w:rPr>
                <w:sz w:val="19"/>
              </w:rPr>
              <w:t>I5</w:t>
            </w:r>
          </w:p>
        </w:tc>
        <w:tc>
          <w:tcPr>
            <w:tcW w:type="dxa" w:w="5112"/>
          </w:tcPr>
          <w:p>
            <w:pPr>
              <w:spacing w:after="0" w:before="0"/>
              <w:jc w:val="left"/>
            </w:pPr>
            <w:r>
              <w:rPr>
                <w:sz w:val="19"/>
              </w:rPr>
              <w:t>Tangencias y arcos</w:t>
            </w:r>
          </w:p>
        </w:tc>
        <w:tc>
          <w:tcPr>
            <w:tcW w:type="dxa" w:w="936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936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936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type="dxa" w:w="792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8</w:t>
            </w:r>
          </w:p>
        </w:tc>
      </w:tr>
      <w:tr>
        <w:tc>
          <w:tcPr>
            <w:tcW w:type="dxa" w:w="792"/>
          </w:tcPr>
          <w:p>
            <w:pPr>
              <w:spacing w:after="0" w:before="0"/>
              <w:jc w:val="left"/>
            </w:pPr>
            <w:r>
              <w:rPr>
                <w:sz w:val="19"/>
              </w:rPr>
              <w:t>I6</w:t>
            </w:r>
          </w:p>
        </w:tc>
        <w:tc>
          <w:tcPr>
            <w:tcW w:type="dxa" w:w="5112"/>
          </w:tcPr>
          <w:p>
            <w:pPr>
              <w:spacing w:after="0" w:before="0"/>
              <w:jc w:val="left"/>
            </w:pPr>
            <w:r>
              <w:rPr>
                <w:sz w:val="19"/>
              </w:rPr>
              <w:t>Solo aristas visibles</w:t>
            </w:r>
          </w:p>
        </w:tc>
        <w:tc>
          <w:tcPr>
            <w:tcW w:type="dxa" w:w="936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type="dxa" w:w="936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936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type="dxa" w:w="792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17</w:t>
            </w:r>
          </w:p>
        </w:tc>
      </w:tr>
      <w:tr>
        <w:tc>
          <w:tcPr>
            <w:tcW w:type="dxa" w:w="792"/>
          </w:tcPr>
          <w:p>
            <w:pPr>
              <w:spacing w:after="0" w:before="0"/>
              <w:jc w:val="left"/>
            </w:pPr>
            <w:r>
              <w:rPr>
                <w:sz w:val="19"/>
              </w:rPr>
              <w:t>I7</w:t>
            </w:r>
          </w:p>
        </w:tc>
        <w:tc>
          <w:tcPr>
            <w:tcW w:type="dxa" w:w="5112"/>
          </w:tcPr>
          <w:p>
            <w:pPr>
              <w:spacing w:after="0" w:before="0"/>
              <w:jc w:val="left"/>
            </w:pPr>
            <w:r>
              <w:rPr>
                <w:sz w:val="19"/>
              </w:rPr>
              <w:t>Proporción, limpieza y grosores</w:t>
            </w:r>
          </w:p>
        </w:tc>
        <w:tc>
          <w:tcPr>
            <w:tcW w:type="dxa" w:w="936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936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936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type="dxa" w:w="792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16</w:t>
            </w:r>
          </w:p>
        </w:tc>
      </w:tr>
      <w:tr>
        <w:tc>
          <w:tcPr>
            <w:tcW w:type="dxa" w:w="792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</w:p>
        </w:tc>
        <w:tc>
          <w:tcPr>
            <w:tcW w:type="dxa" w:w="5112"/>
          </w:tcPr>
          <w:p>
            <w:pPr>
              <w:spacing w:after="0" w:before="0"/>
              <w:jc w:val="left"/>
            </w:pPr>
            <w:r>
              <w:rPr>
                <w:sz w:val="19"/>
              </w:rPr>
              <w:t>Total</w:t>
            </w:r>
          </w:p>
        </w:tc>
        <w:tc>
          <w:tcPr>
            <w:tcW w:type="dxa" w:w="936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25</w:t>
            </w:r>
          </w:p>
        </w:tc>
        <w:tc>
          <w:tcPr>
            <w:tcW w:type="dxa" w:w="936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30</w:t>
            </w:r>
          </w:p>
        </w:tc>
        <w:tc>
          <w:tcPr>
            <w:tcW w:type="dxa" w:w="936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45</w:t>
            </w:r>
          </w:p>
        </w:tc>
        <w:tc>
          <w:tcPr>
            <w:tcW w:type="dxa" w:w="792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100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Ttulo1"/>
      </w:pPr>
      <w:r>
        <w:t>Descuentos frecuentes</w:t>
      </w:r>
    </w:p>
    <w:tbl>
      <w:tblPr>
        <w:tblStyle w:val="Table"/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1296"/>
        <w:gridCol w:w="2880"/>
      </w:tblGrid>
      <w:tr>
        <w:tc>
          <w:tcPr>
            <w:tcW w:type="dxa" w:w="5184"/>
          </w:tcPr>
          <w:p>
            <w:pPr>
              <w:spacing w:after="0" w:before="0"/>
              <w:jc w:val="left"/>
            </w:pPr>
            <w:r>
              <w:rPr>
                <w:sz w:val="19"/>
              </w:rPr>
              <w:t>Error</w:t>
            </w:r>
          </w:p>
        </w:tc>
        <w:tc>
          <w:tcPr>
            <w:tcW w:type="dxa" w:w="1296"/>
          </w:tcPr>
          <w:p>
            <w:pPr>
              <w:spacing w:after="0" w:before="0"/>
              <w:jc w:val="left"/>
            </w:pPr>
            <w:r>
              <w:rPr>
                <w:sz w:val="19"/>
              </w:rPr>
              <w:t>Criterio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Descuento sugerido</w:t>
            </w:r>
          </w:p>
        </w:tc>
      </w:tr>
      <w:tr>
        <w:tc>
          <w:tcPr>
            <w:tcW w:type="dxa" w:w="5184"/>
          </w:tcPr>
          <w:p>
            <w:pPr>
              <w:spacing w:after="0" w:before="0"/>
              <w:jc w:val="left"/>
            </w:pPr>
            <w:r>
              <w:rPr>
                <w:sz w:val="19"/>
              </w:rPr>
              <w:t>Medir el largo real sobre la arista inclinada</w:t>
            </w:r>
          </w:p>
        </w:tc>
        <w:tc>
          <w:tcPr>
            <w:tcW w:type="dxa" w:w="1296"/>
          </w:tcPr>
          <w:p>
            <w:pPr>
              <w:spacing w:after="0" w:before="0"/>
              <w:jc w:val="left"/>
            </w:pPr>
            <w:r>
              <w:rPr>
                <w:sz w:val="19"/>
              </w:rPr>
              <w:t>I2, I3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mitad de I3</w:t>
            </w:r>
          </w:p>
        </w:tc>
      </w:tr>
      <w:tr>
        <w:tc>
          <w:tcPr>
            <w:tcW w:type="dxa" w:w="5184"/>
          </w:tcPr>
          <w:p>
            <w:pPr>
              <w:spacing w:after="0" w:before="0"/>
              <w:jc w:val="left"/>
            </w:pPr>
            <w:r>
              <w:rPr>
                <w:sz w:val="19"/>
              </w:rPr>
              <w:t>Círculo dibujado como circunferencia</w:t>
            </w:r>
          </w:p>
        </w:tc>
        <w:tc>
          <w:tcPr>
            <w:tcW w:type="dxa" w:w="1296"/>
          </w:tcPr>
          <w:p>
            <w:pPr>
              <w:spacing w:after="0" w:before="0"/>
              <w:jc w:val="left"/>
            </w:pPr>
            <w:r>
              <w:rPr>
                <w:sz w:val="19"/>
              </w:rPr>
              <w:t>I4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todo el criterio en ese agujero</w:t>
            </w:r>
          </w:p>
        </w:tc>
      </w:tr>
      <w:tr>
        <w:tc>
          <w:tcPr>
            <w:tcW w:type="dxa" w:w="5184"/>
          </w:tcPr>
          <w:p>
            <w:pPr>
              <w:spacing w:after="0" w:before="0"/>
              <w:jc w:val="left"/>
            </w:pPr>
            <w:r>
              <w:rPr>
                <w:sz w:val="19"/>
              </w:rPr>
              <w:t>Elipse en el isoplano equivocado (eje mayor mal orientado)</w:t>
            </w:r>
          </w:p>
        </w:tc>
        <w:tc>
          <w:tcPr>
            <w:tcW w:type="dxa" w:w="1296"/>
          </w:tcPr>
          <w:p>
            <w:pPr>
              <w:spacing w:after="0" w:before="0"/>
              <w:jc w:val="left"/>
            </w:pPr>
            <w:r>
              <w:rPr>
                <w:sz w:val="19"/>
              </w:rPr>
              <w:t>I4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5 puntos por elipse</w:t>
            </w:r>
          </w:p>
        </w:tc>
      </w:tr>
      <w:tr>
        <w:tc>
          <w:tcPr>
            <w:tcW w:type="dxa" w:w="5184"/>
          </w:tcPr>
          <w:p>
            <w:pPr>
              <w:spacing w:after="0" w:before="0"/>
              <w:jc w:val="left"/>
            </w:pPr>
            <w:r>
              <w:rPr>
                <w:sz w:val="19"/>
              </w:rPr>
              <w:t>Falta la recta tangente entre los dos arcos del respaldo</w:t>
            </w:r>
          </w:p>
        </w:tc>
        <w:tc>
          <w:tcPr>
            <w:tcW w:type="dxa" w:w="1296"/>
          </w:tcPr>
          <w:p>
            <w:pPr>
              <w:spacing w:after="0" w:before="0"/>
              <w:jc w:val="left"/>
            </w:pPr>
            <w:r>
              <w:rPr>
                <w:sz w:val="19"/>
              </w:rPr>
              <w:t>I5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4 puntos</w:t>
            </w:r>
          </w:p>
        </w:tc>
      </w:tr>
      <w:tr>
        <w:tc>
          <w:tcPr>
            <w:tcW w:type="dxa" w:w="5184"/>
          </w:tcPr>
          <w:p>
            <w:pPr>
              <w:spacing w:after="0" w:before="0"/>
              <w:jc w:val="left"/>
            </w:pPr>
            <w:r>
              <w:rPr>
                <w:sz w:val="19"/>
              </w:rPr>
              <w:t>Arco que no llega tangente a las aristas verticales</w:t>
            </w:r>
          </w:p>
        </w:tc>
        <w:tc>
          <w:tcPr>
            <w:tcW w:type="dxa" w:w="1296"/>
          </w:tcPr>
          <w:p>
            <w:pPr>
              <w:spacing w:after="0" w:before="0"/>
              <w:jc w:val="left"/>
            </w:pPr>
            <w:r>
              <w:rPr>
                <w:sz w:val="19"/>
              </w:rPr>
              <w:t>I5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2 puntos</w:t>
            </w:r>
          </w:p>
        </w:tc>
      </w:tr>
      <w:tr>
        <w:tc>
          <w:tcPr>
            <w:tcW w:type="dxa" w:w="5184"/>
          </w:tcPr>
          <w:p>
            <w:pPr>
              <w:spacing w:after="0" w:before="0"/>
              <w:jc w:val="left"/>
            </w:pPr>
            <w:r>
              <w:rPr>
                <w:sz w:val="19"/>
              </w:rPr>
              <w:t>Aristas ocultas dibujadas</w:t>
            </w:r>
          </w:p>
        </w:tc>
        <w:tc>
          <w:tcPr>
            <w:tcW w:type="dxa" w:w="1296"/>
          </w:tcPr>
          <w:p>
            <w:pPr>
              <w:spacing w:after="0" w:before="0"/>
              <w:jc w:val="left"/>
            </w:pPr>
            <w:r>
              <w:rPr>
                <w:sz w:val="19"/>
              </w:rPr>
              <w:t>I6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2 puntos por zona</w:t>
            </w:r>
          </w:p>
        </w:tc>
      </w:tr>
      <w:tr>
        <w:tc>
          <w:tcPr>
            <w:tcW w:type="dxa" w:w="5184"/>
          </w:tcPr>
          <w:p>
            <w:pPr>
              <w:spacing w:after="0" w:before="0"/>
              <w:jc w:val="left"/>
            </w:pPr>
            <w:r>
              <w:rPr>
                <w:sz w:val="19"/>
              </w:rPr>
              <w:t>Falta el arco trasero visible a través del agujero Ø20</w:t>
            </w:r>
          </w:p>
        </w:tc>
        <w:tc>
          <w:tcPr>
            <w:tcW w:type="dxa" w:w="1296"/>
          </w:tcPr>
          <w:p>
            <w:pPr>
              <w:spacing w:after="0" w:before="0"/>
              <w:jc w:val="left"/>
            </w:pPr>
            <w:r>
              <w:rPr>
                <w:sz w:val="19"/>
              </w:rPr>
              <w:t>I6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2 puntos</w:t>
            </w:r>
          </w:p>
        </w:tc>
      </w:tr>
    </w:tbl>
    <w:p>
      <w:pPr>
        <w:spacing w:after="0"/>
      </w:pPr>
    </w:p>
    <w:sectPr w:rsidR="00346DC2" w:rsidRPr="00B42973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CE076" w14:textId="77777777" w:rsidR="00EC1E5F" w:rsidRDefault="00EC1E5F" w:rsidP="00B42973">
      <w:pPr>
        <w:spacing w:after="0" w:line="240" w:lineRule="auto"/>
      </w:pPr>
      <w:r>
        <w:separator/>
      </w:r>
    </w:p>
  </w:endnote>
  <w:endnote w:type="continuationSeparator" w:id="0">
    <w:p w14:paraId="4950F304" w14:textId="77777777" w:rsidR="00EC1E5F" w:rsidRDefault="00EC1E5F" w:rsidP="00B429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1EE82" w14:textId="35EC2D4A" w:rsidR="00B42973" w:rsidRDefault="00B42973" w:rsidP="00B42973">
    <w:pPr>
      <w:pStyle w:val="Piedepgina"/>
      <w:pBdr>
        <w:top w:val="single" w:sz="4" w:space="1" w:color="auto"/>
      </w:pBdr>
    </w:pPr>
    <w:r>
      <w:t>Ingeniería Civil Industrial · UCT</w:t>
    </w:r>
    <w:r>
      <w:ptab w:relativeTo="margin" w:alignment="center" w:leader="none"/>
    </w:r>
    <w:r>
      <w:t>Prof. Miguel Godoy Díaz</w:t>
    </w:r>
    <w:r>
      <w:ptab w:relativeTo="margin" w:alignment="right" w:leader="none"/>
    </w:r>
    <w:r>
      <w:t xml:space="preserve">Página </w:t>
    </w:r>
    <w:r>
      <w:fldChar w:fldCharType="begin"/>
    </w:r>
    <w:r>
      <w:instrText>PAGE   \* MERGEFORMAT</w:instrText>
    </w:r>
    <w:r>
      <w:fldChar w:fldCharType="separate"/>
    </w:r>
    <w:r>
      <w:rPr>
        <w:lang w:val="es-ES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E4941" w14:textId="77777777" w:rsidR="00EC1E5F" w:rsidRDefault="00EC1E5F" w:rsidP="00B42973">
      <w:pPr>
        <w:spacing w:after="0" w:line="240" w:lineRule="auto"/>
      </w:pPr>
      <w:r>
        <w:separator/>
      </w:r>
    </w:p>
  </w:footnote>
  <w:footnote w:type="continuationSeparator" w:id="0">
    <w:p w14:paraId="7D73A011" w14:textId="77777777" w:rsidR="00EC1E5F" w:rsidRDefault="00EC1E5F" w:rsidP="00B429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A0B12" w14:textId="757FD385" w:rsidR="00B42973" w:rsidRDefault="00B42973" w:rsidP="00B42973">
    <w:pPr>
      <w:pStyle w:val="Encabezado"/>
      <w:pBdr>
        <w:bottom w:val="single" w:sz="4" w:space="1" w:color="auto"/>
      </w:pBdr>
    </w:pPr>
    <w:r>
      <w:t>Sistemas de Representación · PCI 1119</w:t>
    </w:r>
    <w:r>
      <w:ptab w:relativeTo="margin" w:alignment="center" w:leader="none"/>
    </w:r>
    <w:r>
      <w:ptab w:relativeTo="margin" w:alignment="right" w:leader="none"/>
    </w:r>
    <w:r>
      <w:t>Pauta Actividad 7 · Isométrico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3E3A6FB2"/>
    <w:multiLevelType w:val="hybridMultilevel"/>
    <w:tmpl w:val="96AA821A"/>
    <w:lvl w:ilvl="0" w:tplc="ACB2BE42">
      <w:start w:val="1"/>
      <w:numFmt w:val="bullet"/>
      <w:lvlText w:val="●"/>
      <w:lvlJc w:val="left"/>
      <w:pPr>
        <w:ind w:left="720" w:hanging="360"/>
      </w:pPr>
    </w:lvl>
    <w:lvl w:ilvl="1" w:tplc="9BBCEA30">
      <w:start w:val="1"/>
      <w:numFmt w:val="bullet"/>
      <w:lvlText w:val="○"/>
      <w:lvlJc w:val="left"/>
      <w:pPr>
        <w:ind w:left="1440" w:hanging="360"/>
      </w:pPr>
    </w:lvl>
    <w:lvl w:ilvl="2" w:tplc="E89C2B0E">
      <w:start w:val="1"/>
      <w:numFmt w:val="bullet"/>
      <w:lvlText w:val="■"/>
      <w:lvlJc w:val="left"/>
      <w:pPr>
        <w:ind w:left="2160" w:hanging="360"/>
      </w:pPr>
    </w:lvl>
    <w:lvl w:ilvl="3" w:tplc="248C802E">
      <w:start w:val="1"/>
      <w:numFmt w:val="bullet"/>
      <w:lvlText w:val="●"/>
      <w:lvlJc w:val="left"/>
      <w:pPr>
        <w:ind w:left="2880" w:hanging="360"/>
      </w:pPr>
    </w:lvl>
    <w:lvl w:ilvl="4" w:tplc="FEF0E1D4">
      <w:start w:val="1"/>
      <w:numFmt w:val="bullet"/>
      <w:lvlText w:val="○"/>
      <w:lvlJc w:val="left"/>
      <w:pPr>
        <w:ind w:left="3600" w:hanging="360"/>
      </w:pPr>
    </w:lvl>
    <w:lvl w:ilvl="5" w:tplc="0662433A">
      <w:start w:val="1"/>
      <w:numFmt w:val="bullet"/>
      <w:lvlText w:val="■"/>
      <w:lvlJc w:val="left"/>
      <w:pPr>
        <w:ind w:left="4320" w:hanging="360"/>
      </w:pPr>
    </w:lvl>
    <w:lvl w:ilvl="6" w:tplc="664AA63A">
      <w:start w:val="1"/>
      <w:numFmt w:val="bullet"/>
      <w:lvlText w:val="●"/>
      <w:lvlJc w:val="left"/>
      <w:pPr>
        <w:ind w:left="5040" w:hanging="360"/>
      </w:pPr>
    </w:lvl>
    <w:lvl w:ilvl="7" w:tplc="8D5227AA">
      <w:start w:val="1"/>
      <w:numFmt w:val="bullet"/>
      <w:lvlText w:val="●"/>
      <w:lvlJc w:val="left"/>
      <w:pPr>
        <w:ind w:left="5760" w:hanging="360"/>
      </w:pPr>
    </w:lvl>
    <w:lvl w:ilvl="8" w:tplc="11C617DA">
      <w:start w:val="1"/>
      <w:numFmt w:val="bullet"/>
      <w:lvlText w:val="●"/>
      <w:lvlJc w:val="left"/>
      <w:pPr>
        <w:ind w:left="6480" w:hanging="360"/>
      </w:pPr>
    </w:lvl>
  </w:abstractNum>
  <w:num w:numId="1" w16cid:durableId="1676954283">
    <w:abstractNumId w:val="1"/>
    <w:lvlOverride w:ilvl="0">
      <w:startOverride w:val="1"/>
    </w:lvlOverride>
  </w:num>
  <w:num w:numId="2" w16cid:durableId="2100252433">
    <w:abstractNumId w:val="0"/>
  </w:num>
  <w:num w:numId="3" w16cid:durableId="670957885">
    <w:abstractNumId w:val="0"/>
  </w:num>
  <w:num w:numId="4" w16cid:durableId="2133016542">
    <w:abstractNumId w:val="0"/>
  </w:num>
  <w:num w:numId="5" w16cid:durableId="2136870558">
    <w:abstractNumId w:val="0"/>
  </w:num>
  <w:num w:numId="6" w16cid:durableId="895893423">
    <w:abstractNumId w:val="0"/>
  </w:num>
  <w:num w:numId="7" w16cid:durableId="1987931812">
    <w:abstractNumId w:val="0"/>
  </w:num>
  <w:num w:numId="8" w16cid:durableId="1031299985">
    <w:abstractNumId w:val="0"/>
  </w:num>
  <w:num w:numId="9" w16cid:durableId="319431615">
    <w:abstractNumId w:val="0"/>
  </w:num>
  <w:num w:numId="10" w16cid:durableId="96411935">
    <w:abstractNumId w:val="0"/>
  </w:num>
  <w:num w:numId="11" w16cid:durableId="1306932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6DC2"/>
    <w:rsid w:val="000E0AC9"/>
    <w:rsid w:val="00346DC2"/>
    <w:rsid w:val="003D0079"/>
    <w:rsid w:val="00B42973"/>
    <w:rsid w:val="00EC1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257D6"/>
  <w15:docId w15:val="{E9F2BCA0-F1CD-457C-A5A2-AA09BC740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2973"/>
    <w:pPr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B42973"/>
    <w:pPr>
      <w:keepNext/>
      <w:keepLines/>
      <w:numPr>
        <w:numId w:val="11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42973"/>
    <w:pPr>
      <w:keepNext/>
      <w:keepLines/>
      <w:numPr>
        <w:ilvl w:val="1"/>
        <w:numId w:val="11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2973"/>
    <w:pPr>
      <w:keepNext/>
      <w:keepLines/>
      <w:numPr>
        <w:ilvl w:val="2"/>
        <w:numId w:val="1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2973"/>
    <w:pPr>
      <w:keepNext/>
      <w:keepLines/>
      <w:numPr>
        <w:ilvl w:val="3"/>
        <w:numId w:val="1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2973"/>
    <w:pPr>
      <w:keepNext/>
      <w:keepLines/>
      <w:numPr>
        <w:ilvl w:val="4"/>
        <w:numId w:val="11"/>
      </w:numPr>
      <w:spacing w:before="200" w:after="0"/>
      <w:outlineLvl w:val="4"/>
    </w:pPr>
    <w:rPr>
      <w:rFonts w:asciiTheme="majorHAnsi" w:eastAsiaTheme="majorEastAsia" w:hAnsiTheme="majorHAnsi" w:cstheme="majorBidi"/>
      <w:color w:val="0A1D30" w:themeColor="text2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2973"/>
    <w:pPr>
      <w:keepNext/>
      <w:keepLines/>
      <w:numPr>
        <w:ilvl w:val="5"/>
        <w:numId w:val="1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2973"/>
    <w:pPr>
      <w:keepNext/>
      <w:keepLines/>
      <w:numPr>
        <w:ilvl w:val="6"/>
        <w:numId w:val="1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2973"/>
    <w:pPr>
      <w:keepNext/>
      <w:keepLines/>
      <w:numPr>
        <w:ilvl w:val="7"/>
        <w:numId w:val="1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2973"/>
    <w:pPr>
      <w:keepNext/>
      <w:keepLines/>
      <w:numPr>
        <w:ilvl w:val="8"/>
        <w:numId w:val="1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B42973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customStyle="1" w:styleId="Fuerte1">
    <w:name w:val="Fuerte1"/>
    <w:rPr>
      <w:b/>
      <w:bCs/>
    </w:rPr>
  </w:style>
  <w:style w:type="paragraph" w:styleId="Prrafodelista">
    <w:name w:val="List Paragraph"/>
    <w:uiPriority w:val="34"/>
    <w:qFormat/>
    <w:pPr>
      <w:ind w:left="720"/>
      <w:contextualSpacing/>
    </w:pPr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customStyle="1" w:styleId="Destacado1">
    <w:name w:val="Destacado 1"/>
    <w:pPr>
      <w:spacing w:before="120" w:after="120"/>
    </w:pPr>
    <w:rPr>
      <w:b/>
      <w:bCs/>
      <w:color w:val="2E5E8C"/>
      <w:sz w:val="24"/>
      <w:szCs w:val="24"/>
    </w:rPr>
  </w:style>
  <w:style w:type="paragraph" w:customStyle="1" w:styleId="Destacado2">
    <w:name w:val="Destacado 2"/>
    <w:pPr>
      <w:pBdr>
        <w:left w:val="single" w:sz="18" w:space="12" w:color="2E5E8C"/>
      </w:pBdr>
      <w:spacing w:before="120" w:after="120"/>
      <w:ind w:left="360"/>
    </w:pPr>
    <w:rPr>
      <w:i/>
      <w:iCs/>
      <w:color w:val="555555"/>
    </w:rPr>
  </w:style>
  <w:style w:type="paragraph" w:customStyle="1" w:styleId="Destacado3">
    <w:name w:val="Destacado 3"/>
    <w:pPr>
      <w:shd w:val="clear" w:color="auto" w:fill="FFF6D6"/>
      <w:spacing w:before="120" w:after="120"/>
      <w:ind w:left="180" w:right="180"/>
    </w:pPr>
    <w:rPr>
      <w:color w:val="7A5C00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B42973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B42973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2973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2973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2973"/>
    <w:rPr>
      <w:rFonts w:asciiTheme="majorHAnsi" w:eastAsiaTheme="majorEastAsia" w:hAnsiTheme="majorHAnsi" w:cstheme="majorBidi"/>
      <w:color w:val="0A1D30" w:themeColor="text2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2973"/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297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2973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297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B4297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customStyle="1" w:styleId="TtuloCar">
    <w:name w:val="Título Car"/>
    <w:basedOn w:val="Fuentedeprrafopredeter"/>
    <w:link w:val="Ttulo"/>
    <w:uiPriority w:val="10"/>
    <w:rsid w:val="00B42973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2973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tuloCar">
    <w:name w:val="Subtítulo Car"/>
    <w:basedOn w:val="Fuentedeprrafopredeter"/>
    <w:link w:val="Subttulo"/>
    <w:uiPriority w:val="11"/>
    <w:rsid w:val="00B42973"/>
    <w:rPr>
      <w:color w:val="5A5A5A" w:themeColor="text1" w:themeTint="A5"/>
      <w:spacing w:val="10"/>
    </w:rPr>
  </w:style>
  <w:style w:type="character" w:styleId="Fuerte">
    <w:name w:val="Strong"/>
    <w:basedOn w:val="Fuentedeprrafopredeter"/>
    <w:uiPriority w:val="22"/>
    <w:qFormat/>
    <w:rsid w:val="00B42973"/>
    <w:rPr>
      <w:b/>
      <w:bCs/>
      <w:color w:val="000000" w:themeColor="text1"/>
    </w:rPr>
  </w:style>
  <w:style w:type="character" w:styleId="nfasis">
    <w:name w:val="Emphasis"/>
    <w:basedOn w:val="Fuentedeprrafopredeter"/>
    <w:uiPriority w:val="20"/>
    <w:qFormat/>
    <w:rsid w:val="00B42973"/>
    <w:rPr>
      <w:i/>
      <w:iCs/>
      <w:color w:val="auto"/>
    </w:rPr>
  </w:style>
  <w:style w:type="paragraph" w:styleId="Sinespaciado">
    <w:name w:val="No Spacing"/>
    <w:uiPriority w:val="1"/>
    <w:qFormat/>
    <w:rsid w:val="00B42973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B42973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B42973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2973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2973"/>
    <w:rPr>
      <w:color w:val="000000" w:themeColor="text1"/>
      <w:shd w:val="clear" w:color="auto" w:fill="F2F2F2" w:themeFill="background1" w:themeFillShade="F2"/>
    </w:rPr>
  </w:style>
  <w:style w:type="character" w:styleId="nfasissutil">
    <w:name w:val="Subtle Emphasis"/>
    <w:basedOn w:val="Fuentedeprrafopredeter"/>
    <w:uiPriority w:val="19"/>
    <w:qFormat/>
    <w:rsid w:val="00B42973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B42973"/>
    <w:rPr>
      <w:b/>
      <w:bCs/>
      <w:i/>
      <w:iCs/>
      <w:caps/>
    </w:rPr>
  </w:style>
  <w:style w:type="character" w:styleId="Referenciasutil">
    <w:name w:val="Subtle Reference"/>
    <w:basedOn w:val="Fuentedeprrafopredeter"/>
    <w:uiPriority w:val="31"/>
    <w:qFormat/>
    <w:rsid w:val="00B42973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B42973"/>
    <w:rPr>
      <w:b/>
      <w:bCs/>
      <w:smallCaps/>
      <w:u w:val="single"/>
    </w:rPr>
  </w:style>
  <w:style w:type="character" w:styleId="Ttulodellibro">
    <w:name w:val="Book Title"/>
    <w:basedOn w:val="Fuentedeprrafopredeter"/>
    <w:uiPriority w:val="33"/>
    <w:qFormat/>
    <w:rsid w:val="00B42973"/>
    <w:rPr>
      <w:b w:val="0"/>
      <w:bCs w:val="0"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B42973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B4297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42973"/>
  </w:style>
  <w:style w:type="paragraph" w:styleId="Piedepgina">
    <w:name w:val="footer"/>
    <w:basedOn w:val="Normal"/>
    <w:link w:val="PiedepginaCar"/>
    <w:uiPriority w:val="99"/>
    <w:unhideWhenUsed/>
    <w:rsid w:val="00B4297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42973"/>
  </w:style>
  <w:style w:type="table" w:styleId="Table">
    <w:name w:val="Table"/>
    <w:basedOn w:val="Tablanormal"/>
    <w:uiPriority w:val="99"/>
    <w:pPr>
      <w:spacing w:before="40" w:after="40"/>
    </w:pPr>
    <w:tblPr>
      <w:tblBorders>
        <w:top w:val="single" w:sz="4" w:space="0" w:color="8FA9C4"/>
        <w:left w:val="single" w:sz="4" w:space="0" w:color="8FA9C4"/>
        <w:bottom w:val="single" w:sz="4" w:space="0" w:color="8FA9C4"/>
        <w:right w:val="single" w:sz="4" w:space="0" w:color="8FA9C4"/>
        <w:insideH w:val="single" w:sz="4" w:space="0" w:color="8FA9C4"/>
        <w:insideV w:val="single" w:sz="4" w:space="0" w:color="8FA9C4"/>
      </w:tblBorders>
      <w:tblCellMar>
        <w:top w:w="40" w:type="dxa"/>
        <w:left w:w="108" w:type="dxa"/>
        <w:bottom w:w="40" w:type="dxa"/>
        <w:right w:w="108" w:type="dxa"/>
      </w:tblCellMar>
    </w:tblPr>
    <w:tblStylePr w:type="firstRow">
      <w:rPr>
        <w:b/>
        <w:color w:val="FFFFFF"/>
      </w:rPr>
      <w:tcPr>
        <w:shd w:val="clear" w:color="auto" w:fill="2E5E8C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126</Words>
  <Characters>697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Miguel Godoy Díaz</cp:lastModifiedBy>
  <cp:revision>3</cp:revision>
  <dcterms:created xsi:type="dcterms:W3CDTF">2026-07-12T20:51:00Z</dcterms:created>
  <dcterms:modified xsi:type="dcterms:W3CDTF">2026-07-12T23:17:00Z</dcterms:modified>
</cp:coreProperties>
</file>