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Recommended P21 Performance Fixes</w:t>
      </w:r>
    </w:p>
    <w:p>
      <w:r>
        <w:rPr>
          <w:b/>
        </w:rPr>
        <w:t xml:space="preserve">Date: </w:t>
      </w:r>
      <w:r>
        <w:t>2026-08-12</w:t>
      </w:r>
    </w:p>
    <w:p>
      <w:r>
        <w:rPr>
          <w:b/>
        </w:rPr>
        <w:t xml:space="preserve">Prepared by: </w:t>
      </w:r>
      <w:r>
        <w:t>Mark Goldyn</w:t>
      </w:r>
    </w:p>
    <w:p>
      <w:r>
        <w:rPr>
          <w:b/>
        </w:rPr>
        <w:t xml:space="preserve">Trigger: </w:t>
      </w:r>
      <w:r>
        <w:t>User reports of general P21 slowness</w:t>
      </w:r>
    </w:p>
    <w:p>
      <w:pPr>
        <w:pStyle w:val="Heading1"/>
      </w:pPr>
      <w:r>
        <w:t>Method</w:t>
      </w:r>
    </w:p>
    <w:p>
      <w:r>
        <w:t>Checked P21 Prod (</w:t>
      </w:r>
      <w:r>
        <w:rPr>
          <w:i/>
        </w:rPr>
        <w:t>P21.allsurfaces.com</w:t>
      </w:r>
      <w:r>
        <w:t>) two ways:</w:t>
      </w:r>
    </w:p>
    <w:p>
      <w:pPr>
        <w:pStyle w:val="ListNumber"/>
      </w:pPr>
      <w:r>
        <w:rPr>
          <w:b/>
        </w:rPr>
        <w:t>Live snapshot</w:t>
      </w:r>
      <w:r>
        <w:t xml:space="preserve"> of active requests, blocking chains, and waits — catches anything stuck right now.</w:t>
      </w:r>
    </w:p>
    <w:p>
      <w:pPr>
        <w:pStyle w:val="ListNumber"/>
      </w:pPr>
      <w:r>
        <w:rPr>
          <w:b/>
        </w:rPr>
        <w:t>Plan-cache DMV sweep</w:t>
      </w:r>
      <w:r>
        <w:t xml:space="preserve"> (sys.dm_exec_query_stats), ranked by total logical reads/CPU — catches chronic offenders regardless of whether they’re blocking anyone at read time.</w:t>
      </w:r>
    </w:p>
    <w:p>
      <w:r>
        <w:t>No blocking was found at the moment of the check, which means the complaints are either intermittent spikes or cumulative load from high-frequency queries rather than one query stuck holding a lock. The findings below are ranked by realistic performance impact — how much load each item removes and how directly it maps to what users would feel.</w:t>
      </w:r>
    </w:p>
    <w:p>
      <w:pPr>
        <w:pStyle w:val="Heading1"/>
      </w:pPr>
      <w:r>
        <w:t>Ranked Recommendations</w:t>
      </w:r>
    </w:p>
    <w:p>
      <w:pPr>
        <w:pStyle w:val="Heading2"/>
      </w:pPr>
      <w:r>
        <w:t>1. Rewrite the order-validator freight lookup (kb_fnt_br_shipto_info) — Highest impact</w:t>
      </w:r>
    </w:p>
    <w:p>
      <w:r>
        <w:rPr>
          <w:b/>
        </w:rPr>
        <w:t xml:space="preserve">What it is: </w:t>
      </w:r>
      <w:r>
        <w:t>A legacy table-valued function called from the order-entry validation business rule (kb_fnt_br_order_validator_v2 / kb_fnt_br_order_validator) on every order save/line validation.</w:t>
      </w:r>
    </w:p>
    <w:p>
      <w:r>
        <w:rPr>
          <w:b/>
        </w:rPr>
        <w:t xml:space="preserve">Measured cost: </w:t>
      </w:r>
      <w:r>
        <w:t>27,935 executions in the current plan-cache window, 21.6M total logical reads, ~5.2ms CPU per call (774 reads/call). Row-by-row execution pattern instead of set-based.</w:t>
      </w:r>
    </w:p>
    <w:p>
      <w:r>
        <w:rPr>
          <w:b/>
        </w:rPr>
        <w:t xml:space="preserve">Why it’s #1: </w:t>
      </w:r>
      <w:r>
        <w:t>It fires on the order-entry path — the single most frequent, most user-visible workflow in P21. Every rep placing or editing an order pays this cost. Fixing it directly improves the transaction people feel slowness in most.</w:t>
      </w:r>
    </w:p>
    <w:p>
      <w:r>
        <w:rPr>
          <w:b/>
        </w:rPr>
        <w:t xml:space="preserve">Bonus: </w:t>
      </w:r>
      <w:r>
        <w:t>It’s a legacy kb_ object (owner departed in 2026 KB/JS retirement effort) that itself chains to two more kb_ objects (kb_fn_number_shorten, kb_view_carrier) — fixing it also retires a small dependency chain.</w:t>
      </w:r>
    </w:p>
    <w:p>
      <w:r>
        <w:rPr>
          <w:b/>
        </w:rPr>
        <w:t xml:space="preserve">Status: </w:t>
      </w:r>
      <w:r>
        <w:t>Rewrite is already queued in an existing project, currently blocked on an unrelated Atlas surcharge DLL CAS error. Recommend prioritizing once that block clears.</w:t>
      </w:r>
    </w:p>
    <w:p>
      <w:r>
        <w:rPr>
          <w:b/>
        </w:rPr>
        <w:t xml:space="preserve">Effort: </w:t>
      </w:r>
      <w:r>
        <w:t>Medium — inline the TVF logic as a set-based join, validate with EXCEPT both directions before deploying.</w:t>
      </w:r>
    </w:p>
    <w:p>
      <w:pPr>
        <w:pStyle w:val="Heading2"/>
      </w:pPr>
      <w:r>
        <w:t>2. Stand up recurring performance monitoring — Highest leverage, lowest effort</w:t>
      </w:r>
    </w:p>
    <w:p>
      <w:r>
        <w:rPr>
          <w:b/>
        </w:rPr>
        <w:t xml:space="preserve">What it is: </w:t>
      </w:r>
      <w:r>
        <w:t>A scheduled capture of the same two checks (blocking snapshot + plan-cache top offenders) run every 15–30 minutes, or manually triggered when a complaint comes in.</w:t>
      </w:r>
    </w:p>
    <w:p>
      <w:r>
        <w:rPr>
          <w:b/>
        </w:rPr>
        <w:t xml:space="preserve">Why it matters: </w:t>
      </w:r>
      <w:r>
        <w:t>The single point-in-time check we ran found no active blocking — meaning the actual moment of user pain was missed. Without a live capture running during a complaint, root cause is guesswork. This doesn’t fix performance directly, but it’s the fastest way to convert "P21 feels slow" into a specific, provable query.</w:t>
      </w:r>
    </w:p>
    <w:p>
      <w:r>
        <w:rPr>
          <w:b/>
        </w:rPr>
        <w:t xml:space="preserve">Effort: </w:t>
      </w:r>
      <w:r>
        <w:t>Low — the two diagnostic queries already exist (Sql-Scripts\Check-Current-Blocking-Prod.sql, Sql-Scripts\Check-Top-Offenders-PlanCache-Prod.sql); wrapping them in a scheduled job with logging is a small build.</w:t>
      </w:r>
    </w:p>
    <w:p>
      <w:pPr>
        <w:pStyle w:val="Heading2"/>
      </w:pPr>
      <w:r>
        <w:t>3. Broader KB/JS retirement audit, prioritized by measured cost — Ongoing, compounding impact</w:t>
      </w:r>
    </w:p>
    <w:p>
      <w:r>
        <w:rPr>
          <w:b/>
        </w:rPr>
        <w:t xml:space="preserve">What it is: </w:t>
      </w:r>
      <w:r>
        <w:t>Continue the existing KB/JS retirement initiative, but prioritize objects by measured plan-cache cost (reads/CPU) rather than "last modified" or DMV usage stats alone.</w:t>
      </w:r>
    </w:p>
    <w:p>
      <w:r>
        <w:rPr>
          <w:b/>
        </w:rPr>
        <w:t xml:space="preserve">Why it matters: </w:t>
      </w:r>
      <w:r>
        <w:t>kb_fnt_br_shipto_info looked inactive in the June DMV-based audit (KB-Function-Analysis.md) due to a known tracking gap for table-valued functions — it turned out to be live and costly once measured directly. That gap likely hides other real offenders in the remaining ~20 TVFs still marked "Investigate." Each one is a candidate for the same order-of-magnitude win as #1.</w:t>
      </w:r>
    </w:p>
    <w:p>
      <w:r>
        <w:rPr>
          <w:b/>
        </w:rPr>
        <w:t xml:space="preserve">Effort: </w:t>
      </w:r>
      <w:r>
        <w:t>Low to start (repeat this same plan-cache method against the rest of the "Investigate" list), medium per fix depending on complexity.</w:t>
      </w:r>
    </w:p>
    <w:p>
      <w:pPr>
        <w:pStyle w:val="Heading1"/>
      </w:pPr>
      <w:r>
        <w:t>Not Recommended / No Action Needed</w:t>
      </w:r>
    </w:p>
    <w:p>
      <w:pPr>
        <w:pStyle w:val="ListBullet"/>
      </w:pPr>
      <w:r>
        <w:rPr>
          <w:b/>
        </w:rPr>
        <w:t>Native P21 core queries</w:t>
      </w:r>
      <w:r>
        <w:t xml:space="preserve"> (inv_loc inventory updates, audit_trail inserts) — these are the two highest-volume items in the plan cache by raw execution count, but they’re native ERP write-path code. Not something we own or should touch; high volume here is expected and healthy.</w:t>
      </w:r>
    </w:p>
    <w:p>
      <w:pPr>
        <w:pStyle w:val="Heading1"/>
      </w:pPr>
      <w:r>
        <w:t>Summary for Leadership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D9D9D9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456"/>
            <w:shd w:val="clear" w:color="auto" w:fill="D9D9D9"/>
          </w:tcPr>
          <w:p>
            <w:r>
              <w:rPr>
                <w:b/>
              </w:rPr>
              <w:t>Fix</w:t>
            </w:r>
          </w:p>
        </w:tc>
        <w:tc>
          <w:tcPr>
            <w:tcW w:type="dxa" w:w="2304"/>
            <w:shd w:val="clear" w:color="auto" w:fill="D9D9D9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296"/>
            <w:shd w:val="clear" w:color="auto" w:fill="D9D9D9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592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Rewrite kb_fnt_br_shipto_info (order validator)</w:t>
            </w:r>
          </w:p>
        </w:tc>
        <w:tc>
          <w:tcPr>
            <w:tcW w:type="dxa" w:w="2304"/>
          </w:tcPr>
          <w:p>
            <w:r>
              <w:t>High — hits every order save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2592"/>
          </w:tcPr>
          <w:p>
            <w:r>
              <w:t>Blocked on unrelated issue; ready once cleared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Recurring perf monitoring</w:t>
            </w:r>
          </w:p>
        </w:tc>
        <w:tc>
          <w:tcPr>
            <w:tcW w:type="dxa" w:w="2304"/>
          </w:tcPr>
          <w:p>
            <w:r>
              <w:t>High leverage for diagnosis</w:t>
            </w:r>
          </w:p>
        </w:tc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2592"/>
          </w:tcPr>
          <w:p>
            <w:r>
              <w:t>Not started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Cost-ranked KB/JS audit</w:t>
            </w:r>
          </w:p>
        </w:tc>
        <w:tc>
          <w:tcPr>
            <w:tcW w:type="dxa" w:w="2304"/>
          </w:tcPr>
          <w:p>
            <w:r>
              <w:t>Compounding, ongoing</w:t>
            </w:r>
          </w:p>
        </w:tc>
        <w:tc>
          <w:tcPr>
            <w:tcW w:type="dxa" w:w="1296"/>
          </w:tcPr>
          <w:p>
            <w:r>
              <w:t>Low–Medium</w:t>
            </w:r>
          </w:p>
        </w:tc>
        <w:tc>
          <w:tcPr>
            <w:tcW w:type="dxa" w:w="2592"/>
          </w:tcPr>
          <w:p>
            <w:r>
              <w:t>Not started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