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0"/>
        </w:rPr>
        <w:t>{{ korisnik_naziv }}</w:t>
      </w:r>
      <w:r>
        <w:rPr>
          <w:rFonts w:ascii="Arial" w:hAnsi="Arial"/>
          <w:b/>
          <w:sz w:val="20"/>
        </w:rPr>
        <w:t>, {{ korisnik_adresa }}</w:t>
      </w:r>
      <w:r>
        <w:rPr>
          <w:rFonts w:ascii="Arial" w:hAnsi="Arial"/>
          <w:b w:val="0"/>
          <w:sz w:val="20"/>
        </w:rPr>
        <w:t>, OIB: {{ korisnik_oib }}, kojeg zastupa direktor {{ korisnik_direktor }} (u daljnjem tekstu: Korisnik usluga),</w:t>
      </w:r>
    </w:p>
    <w:p>
      <w:r>
        <w:rPr>
          <w:rFonts w:ascii="Arial" w:hAnsi="Arial"/>
          <w:b w:val="0"/>
          <w:sz w:val="20"/>
        </w:rPr>
      </w:r>
    </w:p>
    <w:p>
      <w:pPr>
        <w:jc w:val="center"/>
      </w:pPr>
      <w:r>
        <w:rPr>
          <w:rFonts w:ascii="Arial" w:hAnsi="Arial"/>
          <w:b w:val="0"/>
          <w:sz w:val="20"/>
        </w:rPr>
        <w:t>i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{{ davatelj_naziv }}</w:t>
      </w:r>
      <w:r>
        <w:rPr>
          <w:rFonts w:ascii="Arial" w:hAnsi="Arial"/>
          <w:b w:val="0"/>
          <w:sz w:val="20"/>
        </w:rPr>
        <w:t xml:space="preserve"> {{ davatelj_adresa }}, OIB: {{ davatelj_oib }}, kojeg zastupa direktor {{ davatelj_direktor }}, (u daljnjem tekstu: Izvršitelj usluga),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zaključili su dana {{ datum_aneksa }} godine.</w:t>
      </w:r>
    </w:p>
    <w:p>
      <w:r>
        <w:rPr>
          <w:rFonts w:ascii="Arial" w:hAnsi="Arial"/>
          <w:b w:val="0"/>
          <w:sz w:val="20"/>
        </w:rPr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Anex br. {{ broj_aneksa }} {{ referentni_naziv_gen }} br. {{ referentni_broj }}</w:t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o servisiranju i održavanju</w:t>
      </w:r>
    </w:p>
    <w:p>
      <w:pPr>
        <w:spacing w:after="160"/>
        <w:jc w:val="center"/>
      </w:pPr>
      <w:r>
        <w:rPr>
          <w:rFonts w:ascii="Arial" w:hAnsi="Arial"/>
          <w:b/>
          <w:sz w:val="20"/>
        </w:rPr>
        <w:t>informacijskog sustava</w:t>
      </w:r>
    </w:p>
    <w:p>
      <w:pPr>
        <w:spacing w:before="160"/>
      </w:pPr>
      <w:r>
        <w:rPr>
          <w:rFonts w:ascii="Arial" w:hAnsi="Arial"/>
          <w:b/>
          <w:sz w:val="20"/>
        </w:rPr>
        <w:t>Čl. 1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su dana {{ datum_referentnog }} sklopile {{ referentni_naziv_nom }} br. {{ referentni_broj }} o servisiranju i održavanju informacijskog sustava</w:t>
      </w:r>
    </w:p>
    <w:p>
      <w:pPr>
        <w:spacing w:before="160"/>
      </w:pPr>
      <w:r>
        <w:rPr>
          <w:rFonts w:ascii="Arial" w:hAnsi="Arial"/>
          <w:b/>
          <w:sz w:val="20"/>
        </w:rPr>
        <w:t>Čl. 2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3.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Naknada mjesečnog održavanja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{% if valuta_konverzija %}Dosadašnje cijene usluga bile su izražene u HRK te se konvertiraju u EUR prema fiksnom tečaju konverzije (1 EUR = 7,53450 HRK) sukladno Zakonu o uvođenju eura kao službene valute u Republici Hrvatskoj.{% endif %}</w:t>
      </w:r>
    </w:p>
    <w:p>
      <w:r>
        <w:rPr>
          <w:rFonts w:ascii="Arial" w:hAnsi="Arial"/>
          <w:b w:val="0"/>
          <w:sz w:val="20"/>
        </w:rPr>
        <w:t>Za usluge koje su definirane u Prilogu 1. ovog Ugovora, Korisnik usluga će Izvršitelju usluga plaćati mjesečnu naknadu u iznosu od {{ mjesecna_naknada }} EUR neto.</w:t>
      </w:r>
    </w:p>
    <w:p>
      <w:pPr>
        <w:spacing w:before="160"/>
      </w:pPr>
      <w:r>
        <w:rPr>
          <w:rFonts w:ascii="Arial" w:hAnsi="Arial"/>
          <w:b/>
          <w:sz w:val="20"/>
        </w:rPr>
        <w:t>Čl. 3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4 st. 4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Obveze Izvršitelja usluga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 xml:space="preserve">(4) Ugovoreni mjesečni fond sati za redovito servisiranje i održavanje informacijskog sustava je </w:t>
      </w:r>
      <w:r>
        <w:rPr>
          <w:rFonts w:ascii="Arial" w:hAnsi="Arial"/>
          <w:b/>
          <w:sz w:val="20"/>
        </w:rPr>
        <w:t>{{ ukupno_sati }}</w:t>
      </w:r>
      <w:r>
        <w:rPr>
          <w:rFonts w:ascii="Arial" w:hAnsi="Arial"/>
          <w:b w:val="0"/>
          <w:sz w:val="20"/>
        </w:rPr>
        <w:t xml:space="preserve"> mjesečno: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l1_sati }} sistem administrator sata (L1) – sistemsko održavanje radnih stanica, mrežne infrastrukture, printera i hardverske periferije, pomoć korisnicima pri radu, edukacija korisnika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l2_sati }} sistem inženjer sat – (L2) – Održavanje i konfiguriranje komunikacijske mreže, održavanje i konfiguriranje poslužitelja i Office 365 sustava, savjetodavne usluge</w:t>
      </w:r>
    </w:p>
    <w:p>
      <w:pPr>
        <w:spacing w:before="160"/>
      </w:pPr>
      <w:r>
        <w:rPr>
          <w:rFonts w:ascii="Arial" w:hAnsi="Arial"/>
          <w:b/>
          <w:sz w:val="20"/>
        </w:rPr>
        <w:t>Čl. 4.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Priloga 2. gore navedenog {{ referentni_naziv_gen }}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Izračun cijene redovnog servisiranja i održavanja informacijskog sustava</w:t>
      </w:r>
    </w:p>
    <w:p>
      <w:r>
        <w:rPr>
          <w:rFonts w:ascii="Arial" w:hAnsi="Arial"/>
          <w:b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Poz.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Opis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Oznaka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Mjera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Kol.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Jed. Cijena</w:t>
              <w:br/>
              <w:t>(EUR)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{%tr for s in stavke %}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s.pozicija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s.opis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s.oznaka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s.mjera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s.kolicina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s.cijena }}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{%tr endfor %}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</w:tbl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vat_note }}</w:t>
      </w:r>
    </w:p>
    <w:p>
      <w:pPr>
        <w:spacing w:before="160"/>
      </w:pPr>
      <w:r>
        <w:rPr>
          <w:rFonts w:ascii="Arial" w:hAnsi="Arial"/>
          <w:b/>
          <w:sz w:val="20"/>
        </w:rPr>
        <w:t>Čl. 5.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ostale odredbe {{ referentni_naziv_gen }} {{ referentni_broj }} o servisiranju i održavanju informacijskog sustava ostaju nepromijenjene.</w:t>
      </w:r>
    </w:p>
    <w:p>
      <w:pPr>
        <w:spacing w:before="160"/>
      </w:pPr>
      <w:r>
        <w:rPr>
          <w:rFonts w:ascii="Arial" w:hAnsi="Arial"/>
          <w:b/>
          <w:sz w:val="20"/>
        </w:rPr>
        <w:t>Čl. 6.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Ovaj Aneks je sastavljen u 2 istovjetna primjerka, od kojih svaka ugovorna strana zadržava po 1 primjerak.</w:t>
      </w:r>
    </w:p>
    <w:p>
      <w:pPr>
        <w:spacing w:before="160"/>
      </w:pPr>
      <w:r>
        <w:rPr>
          <w:rFonts w:ascii="Arial" w:hAnsi="Arial"/>
          <w:b/>
          <w:sz w:val="20"/>
        </w:rPr>
        <w:t>Čl. 7.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Korisnik usluga i Izvršitelj usluga prihvaćaju prava i obveze iz ovog Aneksa, te ga u znak obostranog prihvata vlastoručno potpisuju po ovlaštenim zastupnicima.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 {{ mjesto }}, {{ datum_aneksa }}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Korisnik usluga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Izvršitelj usluga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korisnik_naziv }}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davatelj_naziv }}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korisnik_direktor }}</w:t>
              <w:br/>
              <w:t>Direktor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davatelj_direktor }}</w:t>
              <w:br/>
              <w:t>Direktor</w:t>
            </w:r>
          </w:p>
        </w:tc>
      </w:tr>
    </w:tbl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