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{{ korisnik_naziv }}</w:t>
      </w:r>
      <w:r>
        <w:rPr>
          <w:rFonts w:ascii="Arial" w:hAnsi="Arial"/>
          <w:b/>
          <w:sz w:val="20"/>
        </w:rPr>
        <w:t>, {{ korisnik_adresa }}</w:t>
      </w:r>
      <w:r>
        <w:rPr>
          <w:rFonts w:ascii="Arial" w:hAnsi="Arial"/>
          <w:b w:val="0"/>
          <w:sz w:val="20"/>
        </w:rPr>
        <w:t>, OIB: {{ korisnik_oib }}, kojeg zastupa direktor {{ korisnik_direktor }} (u daljnjem tekstu: Korisnik usluga),</w:t>
      </w:r>
    </w:p>
    <w:p>
      <w:r>
        <w:rPr>
          <w:rFonts w:ascii="Arial" w:hAnsi="Arial"/>
          <w:b w:val="0"/>
          <w:sz w:val="20"/>
        </w:rPr>
      </w:r>
    </w:p>
    <w:p>
      <w:pPr>
        <w:jc w:val="left"/>
      </w:pPr>
      <w:r>
        <w:rPr>
          <w:rFonts w:ascii="Arial" w:hAnsi="Arial"/>
          <w:b w:val="0"/>
          <w:sz w:val="20"/>
        </w:rPr>
        <w:t>i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0"/>
        </w:rPr>
        <w:t>{{ davatelj_naziv }}</w:t>
      </w:r>
      <w:r>
        <w:rPr>
          <w:rFonts w:ascii="Arial" w:hAnsi="Arial"/>
          <w:b w:val="0"/>
          <w:sz w:val="20"/>
        </w:rPr>
        <w:t xml:space="preserve"> {{ davatelj_adresa }}, OIB: {{ davatelj_oib }}, kojeg zastupa direktor {{ davatelj_direktor }}, (u daljnjem tekstu: Izvršitelj usluga),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zaključili su dana {{ datum_aneksa }} godine.</w:t>
      </w:r>
    </w:p>
    <w:p>
      <w:r>
        <w:rPr>
          <w:rFonts w:ascii="Arial" w:hAnsi="Arial"/>
          <w:b w:val="0"/>
          <w:sz w:val="20"/>
        </w:rPr>
      </w:r>
    </w:p>
    <w:p>
      <w:pPr>
        <w:spacing w:after="40"/>
        <w:jc w:val="center"/>
      </w:pPr>
      <w:r>
        <w:rPr>
          <w:rFonts w:ascii="Arial" w:hAnsi="Arial"/>
          <w:b/>
          <w:sz w:val="20"/>
        </w:rPr>
        <w:t>Anex br. {{ broj_aneksa }} {{ referentni_naziv_gen }} br. {{ referentni_broj }}</w:t>
      </w:r>
    </w:p>
    <w:p>
      <w:pPr>
        <w:spacing w:after="40"/>
        <w:jc w:val="center"/>
      </w:pPr>
      <w:r>
        <w:rPr>
          <w:rFonts w:ascii="Arial" w:hAnsi="Arial"/>
          <w:b/>
          <w:sz w:val="20"/>
        </w:rPr>
        <w:t>o servisiranju i održavanju</w:t>
      </w:r>
    </w:p>
    <w:p>
      <w:pPr>
        <w:spacing w:after="160"/>
        <w:jc w:val="center"/>
      </w:pPr>
      <w:r>
        <w:rPr>
          <w:rFonts w:ascii="Arial" w:hAnsi="Arial"/>
          <w:b/>
          <w:sz w:val="20"/>
        </w:rPr>
        <w:t>informacijskog sustava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1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Ugovorne strane suglasno utvrđuju da su dana {{ datum_referentnog }} sklopile {{ referentni_naziv_nom }} br. {{ referentni_broj }} o servisiranju i održavanju informacijskog sustava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2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Ugovorne strane suglasno utvrđuju da se mijenja odredba čl. 3. gore navedenog {{ referentni_naziv_gen }} na način da ista sada glasi: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0"/>
        </w:rPr>
        <w:t xml:space="preserve">    Naknada mjesečnog održavanja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{% if valuta_konverzija %}Dosadašnje cijene usluga bile su izražene u HRK te se konvertiraju u EUR prema fiksnom tečaju konverzije (1 EUR = 7,53450 HRK) sukladno Zakonu o uvođenju eura kao službene valute u Republici Hrvatskoj.{% endif %}</w:t>
      </w:r>
    </w:p>
    <w:p>
      <w:r>
        <w:rPr>
          <w:rFonts w:ascii="Arial" w:hAnsi="Arial"/>
          <w:b w:val="0"/>
          <w:sz w:val="20"/>
        </w:rPr>
        <w:t>Za usluge koje su definirane u Prilogu 1. ovog Ugovora, Korisnik usluga će Izvršitelju usluga plaćati mjesečnu naknadu u iznosu od {{ mjesecna_naknada }} EUR neto.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3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Ugovorne strane suglasno utvrđuju da se mijenja odredba čl. 4 st. 4 gore navedenog {{ referentni_naziv_gen }} na način da ista sada glasi: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0"/>
        </w:rPr>
        <w:t xml:space="preserve">    Obveze Izvršitelja usluga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 xml:space="preserve">(4) Ugovoreni mjesečni fond sati za redovito servisiranje i održavanje informacijskog sustava je </w:t>
      </w:r>
      <w:r>
        <w:rPr>
          <w:rFonts w:ascii="Arial" w:hAnsi="Arial"/>
          <w:b/>
          <w:sz w:val="20"/>
        </w:rPr>
        <w:t>{{ ukupno_sati }}</w:t>
      </w:r>
      <w:r>
        <w:rPr>
          <w:rFonts w:ascii="Arial" w:hAnsi="Arial"/>
          <w:b w:val="0"/>
          <w:sz w:val="20"/>
        </w:rPr>
        <w:t xml:space="preserve"> mjesečno:</w:t>
      </w:r>
    </w:p>
    <w:p>
      <w:r>
        <w:rPr>
          <w:rFonts w:ascii="Arial" w:hAnsi="Arial"/>
          <w:b w:val="0"/>
          <w:sz w:val="20"/>
        </w:rPr>
      </w:r>
    </w:p>
    <w:p>
      <w:pPr>
        <w:ind w:left="720" w:hanging="357"/>
      </w:pPr>
      <w:r>
        <w:rPr>
          <w:rFonts w:ascii="Arial" w:hAnsi="Arial"/>
          <w:b w:val="0"/>
          <w:sz w:val="20"/>
        </w:rPr>
        <w:t>• {{ l1_sati }} sistem administrator sata (L1) – sistemsko održavanje radnih stanica, mrežne infrastrukture, printera i hardverske periferije, pomoć korisnicima pri radu, edukacija korisnika</w:t>
      </w:r>
    </w:p>
    <w:p>
      <w:r>
        <w:rPr>
          <w:rFonts w:ascii="Arial" w:hAnsi="Arial"/>
          <w:b w:val="0"/>
          <w:sz w:val="20"/>
        </w:rPr>
      </w:r>
    </w:p>
    <w:p>
      <w:pPr>
        <w:ind w:left="720" w:hanging="357"/>
      </w:pPr>
      <w:r>
        <w:rPr>
          <w:rFonts w:ascii="Arial" w:hAnsi="Arial"/>
          <w:b w:val="0"/>
          <w:sz w:val="20"/>
        </w:rPr>
        <w:t>• {{ l2_sati }} sistem inženjer sat – (L2) – Održavanje i konfiguriranje komunikacijske mreže, održavanje i konfiguriranje poslužitelja i Office 365 sustava, savjetodavne usluge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4.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Ugovorne strane suglasno utvrđuju da se mijenja odredba Priloga 2. gore navedenog {{ referentni_naziv_gen }} na način da ista sada glasi: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0"/>
        </w:rPr>
        <w:t>Izračun cijene redovnog servisiranja i održavanja informacijskog sustava</w:t>
      </w:r>
    </w:p>
    <w:p>
      <w:r>
        <w:rPr>
          <w:rFonts w:ascii="Arial" w:hAnsi="Arial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3968"/>
        <w:gridCol w:w="1133"/>
        <w:gridCol w:w="1020"/>
        <w:gridCol w:w="850"/>
        <w:gridCol w:w="1814"/>
      </w:tblGrid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20"/>
              </w:rPr>
              <w:t>Poz.</w:t>
            </w:r>
          </w:p>
        </w:tc>
        <w:tc>
          <w:tcPr>
            <w:tcW w:type="dxa" w:w="3968"/>
          </w:tcPr>
          <w:p>
            <w:r/>
            <w:r>
              <w:rPr>
                <w:rFonts w:ascii="Arial" w:hAnsi="Arial"/>
                <w:b/>
                <w:sz w:val="20"/>
              </w:rPr>
              <w:t>Opis</w:t>
            </w:r>
          </w:p>
        </w:tc>
        <w:tc>
          <w:tcPr>
            <w:tcW w:type="dxa" w:w="1133"/>
          </w:tcPr>
          <w:p>
            <w:r/>
            <w:r>
              <w:rPr>
                <w:rFonts w:ascii="Arial" w:hAnsi="Arial"/>
                <w:b/>
                <w:sz w:val="20"/>
              </w:rPr>
              <w:t>Oznaka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b/>
                <w:sz w:val="20"/>
              </w:rPr>
              <w:t>Mjera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20"/>
              </w:rPr>
              <w:t>Kol.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/>
                <w:sz w:val="20"/>
              </w:rPr>
              <w:t>Jed. Cijena</w:t>
              <w:br/>
              <w:t>(EUR)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20"/>
              </w:rPr>
              <w:t>{%tr for s in stavke %}</w:t>
            </w:r>
          </w:p>
        </w:tc>
        <w:tc>
          <w:tcPr>
            <w:tcW w:type="dxa" w:w="3968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20"/>
              </w:rPr>
              <w:t>{{ s.pozicija }}</w:t>
            </w:r>
          </w:p>
        </w:tc>
        <w:tc>
          <w:tcPr>
            <w:tcW w:type="dxa" w:w="3968"/>
          </w:tcPr>
          <w:p>
            <w:r/>
            <w:r>
              <w:rPr>
                <w:rFonts w:ascii="Arial" w:hAnsi="Arial"/>
                <w:b w:val="0"/>
                <w:sz w:val="20"/>
              </w:rPr>
              <w:t>{{ s.opis }}</w:t>
            </w:r>
          </w:p>
        </w:tc>
        <w:tc>
          <w:tcPr>
            <w:tcW w:type="dxa" w:w="1133"/>
          </w:tcPr>
          <w:p>
            <w:r/>
            <w:r>
              <w:rPr>
                <w:rFonts w:ascii="Arial" w:hAnsi="Arial"/>
                <w:b w:val="0"/>
                <w:sz w:val="20"/>
              </w:rPr>
              <w:t>{{ s.oznaka }}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b w:val="0"/>
                <w:sz w:val="20"/>
              </w:rPr>
              <w:t>{{ s.mjera }}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20"/>
              </w:rPr>
              <w:t>{{ s.kolicina }}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20"/>
              </w:rPr>
              <w:t>{{ s.cijena }}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20"/>
              </w:rPr>
              <w:t>{%tr endfor %}</w:t>
            </w:r>
          </w:p>
        </w:tc>
        <w:tc>
          <w:tcPr>
            <w:tcW w:type="dxa" w:w="3968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{{ vat_note }}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5.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Ugovorne strane suglasno utvrđuju da ostale odredbe {{ referentni_naziv_gen }} {{ referentni_broj }} o servisiranju i održavanju informacijskog sustava ostaju nepromijenjene.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6.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Ovaj Aneks je sastavljen u 2 istovjetna primjerka, od kojih svaka ugovorna strana zadržava po 1 primjerak.</w:t>
      </w:r>
    </w:p>
    <w:p>
      <w:pPr>
        <w:spacing w:before="160"/>
        <w:jc w:val="center"/>
      </w:pPr>
      <w:r>
        <w:rPr>
          <w:rFonts w:ascii="Arial" w:hAnsi="Arial"/>
          <w:b/>
          <w:sz w:val="20"/>
        </w:rPr>
        <w:t>Čl. 7.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Korisnik usluga i Izvršitelj usluga prihvaćaju prava i obveze iz ovog Aneksa, te ga u znak obostranog prihvata vlastoručno potpisuju po ovlaštenim zastupnicima.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  <w:t>U {{ mjesto }}, {{ datum_aneksa }}</w:t>
      </w:r>
    </w:p>
    <w:p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Korisnik usluga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Izvršitelj usluga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{{ korisnik_naziv }}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{{ davatelj_naziv }}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{{ korisnik_direktor }}</w:t>
              <w:br/>
              <w:t>Direktor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{{ davatelj_direktor }}</w:t>
              <w:br/>
              <w:t>Direktor</w:t>
            </w:r>
          </w:p>
        </w:tc>
      </w:tr>
    </w:tbl>
    <w:p>
      <w:r>
        <w:rPr>
          <w:rFonts w:ascii="Arial" w:hAnsi="Arial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MP.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MP.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