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60"/>
          <w:szCs w:val="60"/>
        </w:rPr>
        <w:t xml:space="preserve">GlossWerk</w:t>
      </w:r>
    </w:p>
    <w:p>
      <w:pPr>
        <w:spacing w:after="600"/>
        <w:jc w:val="center"/>
      </w:pPr>
      <w:r>
        <w:rPr>
          <w:rFonts w:ascii="Arial" w:cs="Arial" w:eastAsia="Arial" w:hAnsi="Arial"/>
          <w:sz w:val="48"/>
          <w:szCs w:val="48"/>
        </w:rPr>
        <w:t xml:space="preserve">Business Plan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AI-Powered Patent Translation Pipeline</w:t>
      </w:r>
    </w:p>
    <w:p>
      <w:pPr>
        <w:spacing w:after="240"/>
      </w:pPr>
    </w:p>
    <w:p>
      <w:pPr>
        <w:spacing w:after="240"/>
      </w:pP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March 2026</w:t>
      </w:r>
    </w:p>
    <w:p>
      <w:r>
        <w:br w:type="page"/>
      </w:r>
    </w:p>
    <w:p>
      <w:pPr>
        <w:pStyle w:val="Heading1"/>
        <w:spacing w:before="24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GlossWerk is an AI-powered DE→EN patent translation pipeline that combines LLM translation with structural analysis, terminology management, and automated quality estimation. Unlike raw machine translation, GlossWerk delivers a complete post-editing workflow where 67% of segments are publishable without edits and only 1% require full editing. The product targets Language Service Providers (LSPs), patent law firms, and in-house translation departments.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The founder (Matt) holds an MA in Linguistics from Heidelberg University with deep expertise in German-English translation, computational linguistics, and patent language.</w:t>
      </w:r>
    </w:p>
    <w:p>
      <w:pPr>
        <w:pStyle w:val="Heading1"/>
        <w:spacing w:before="24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Market Opportunity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Global patent translation market: ~$2.5B annually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DE→EN is one of the highest-volume language pairs (EPO filings)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Average cost: €0.12–0.20/word for human translation, €0.06–0.10/word for MTPE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Pain point: LSPs face margin pressure from clients demanding lower prices while maintaining quality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Gap: No existing tool combines MT + structural analysis + automated QE + review workflow in one pipeline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Timing: LLM translation quality has crossed the threshold where post-editing is faster than translating from scratch for technical content</w:t>
      </w:r>
    </w:p>
    <w:p>
      <w:pPr>
        <w:pStyle w:val="Heading1"/>
        <w:spacing w:before="24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Product</w:t>
      </w: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Core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Terminology Scanner: extracts and translates technical nouns, adjectives, verbs with confidence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Structural Analyzer: detects high-risk German constructions (clause nesting, participials, nominalizations) and generates restructuring hints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LLM Translator: Claude-powered translation with glossary enforcement and structural hints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Quality Estimator: rates every segment green/orange/red with error categories, explanations, and one-click fix suggestions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Interface: side-by-side editing with progress tracking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Export: publication-ready .docx with or without QE annotations</w:t>
      </w: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Competitive Advantages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Structural analysis is unique — no competitor does pre-translation German syntax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QE with fix suggestions — competitors offer MT confidence scores but not actionable corrections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Patent-specific calibration — few-shot QE from 500 HTER-rated patent translation pairs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Calque detection — specific rules for German→English syntactic calques that other MT systems miss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Integrated workflow — no switching between TMS, MT, and QE tools</w:t>
      </w: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Technology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Python/Streamlit 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Anthropic Claude API (Sonnet for translation and QE)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spaCy (de_core_news_lg) for German NLP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API cost per patent: $2–5 (highly favorable margin)</w:t>
      </w:r>
    </w:p>
    <w:p>
      <w:pPr>
        <w:pStyle w:val="Heading1"/>
        <w:spacing w:before="24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Target Customers</w:t>
      </w: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Tier 1: Mid-size LSPs (50–200 employees)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Feel MT pricing pressure from clients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Don't have in-house ML teams to build their own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Process 20–100 patents/month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Examples: Welocalize, RWS (patent division), Transperfect patent services, Lionbridge IP</w:t>
      </w: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Tier 2: Patent Law Firms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In-house translation departments or heavy outsourcing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Value quality and consistency above 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Smaller volume but higher willingness to pay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Examples: Firms with EPO prosecution practices</w:t>
      </w: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Tier 3: Corporate IP Departments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Large companies with ongoing patent filing programs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Volume discount potential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Longer sales cycle but high LTV</w:t>
      </w:r>
    </w:p>
    <w:p>
      <w:pPr>
        <w:pStyle w:val="Heading1"/>
        <w:spacing w:before="24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Pricing Strategy</w:t>
      </w: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1: Demo &amp; Validation (Months 1–2)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 demo: 5 patents per invite code, 14-day expiry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Goal: Validate product-market fit with 10–15 LSP contacts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Collect feedback on quality, workflow fit, and willingness to pay</w:t>
      </w: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2: Early Adopter Pricing (Months 3–4)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Per-patent flat rate: $75–150 depending on length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 patents (&lt;5,000 words): $75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Standard patents (5,000–15,000 words): $100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Long patents (&gt;15,000 words): $150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30-day pilot for interested LSPs: $500–1,000 for unlimited use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API cost per patent: $2–5, so margin is 95%+</w:t>
      </w: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3: Production Pricing (Month 5+)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Per-word pricing: $0.03–0.05/word (positions below MTPE rates of $0.06–0.10)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 subscription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Monthly Cost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$500/month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 to 50 patents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Professional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$1,500/month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 to 200 patents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Enterprise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 pricing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Unlimited + API access + TMS integration</w:t>
            </w:r>
          </w:p>
        </w:tc>
      </w:tr>
    </w:tbl>
    <w:p>
      <w:pPr>
        <w:spacing w:after="240"/>
      </w:pP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Unit Economics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Average patent: 10,000 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cost: ~$3.50/patent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 $0.04/word = $400 revenue per patent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Gross margin: &gt;99%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At 100 patents/month = $40,000 MRR on $350 API spend</w:t>
      </w:r>
    </w:p>
    <w:p>
      <w:pPr>
        <w:pStyle w:val="Heading1"/>
        <w:spacing w:before="24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Go-to-Market Strategy</w:t>
      </w: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Demo Outreach (Week 1–2)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Identify 15–20 LSPs with patent translation services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Find translation department heads / technology managers on LinkedIn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Cold outreach: personalized email showing a before/after example from their domain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Offer: Try GlossWerk free on 5 of your patents. See how many segments come out publishable.</w:t>
      </w: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Demo-to-Paid Conversion (Week 3–4)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Follow up on demo usage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Key question: Did the QE triage save your reviewers time?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Offer 30-day pilot at discounted rate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Collect testimonials and case studies</w:t>
      </w: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Scaling (Month 2–3)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early adopter feedback to prioritize features (likely: TMS export format, multi-doc glossary, batch processing)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Content marketing: write about patent translation quality, German→English structural challenges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Conference presence: GALA, ATA, tekom (translation industry conferences)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Partnership with TMS vendors (memoQ, Trados plugin)</w:t>
      </w: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Limiting Demo Usage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Invite-only access codes (unique per contact)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5-patent cap per demo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14-day expiry on demo codes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GlossWerk Demo watermark on all exported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spend ceiling: $25/user ($5/day)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Track usage analytics per user</w:t>
      </w:r>
    </w:p>
    <w:p>
      <w:pPr>
        <w:pStyle w:val="Heading1"/>
        <w:spacing w:before="24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Website &amp; Infrastructure</w:t>
      </w: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glosswerk.com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Landing page: value proposition, how it works, demo request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Auth-gated demo: Streamlit app behind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Hosting: Cloudflare Pages (landing) + Railway or DigitalOcean (app)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Domain: Cloudflare Registrar (~$10/year)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Total infrastructure cost: ~$15–25/month</w:t>
      </w: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Future: Full SaaS Platform (Month 4+)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accounts with Stripe billing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with usage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 API for programmatic access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TMS integration plugins</w:t>
      </w:r>
    </w:p>
    <w:p>
      <w:pPr>
        <w:pStyle w:val="Heading1"/>
        <w:spacing w:before="24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Financial Projections (Year 1)</w:t>
      </w: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Conservative Scenario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 1–2: 0 revenue (demo phase), ~$50 infrastructure cost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 3–4: 5 pilot clients × $750 avg = $3,750/month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 5–6: 10 paying clients × $1,000 avg = $10,000/month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 7–12: 25 clients × $1,500 avg = $37,500/month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Year 1 total: ~$250,000 revenue, ~$5,000 API costs, ~$300 infrastructure</w:t>
      </w: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Aggressive Scenario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Faster adoption: 50 clients by month 12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per-word pricing: some clients at $0.04/word doing 200+ patents/month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Year 1 total: ~$500,000+ revenue</w:t>
      </w:r>
    </w:p>
    <w:p>
      <w:pPr>
        <w:pStyle w:val="Heading2"/>
        <w:spacing w:before="1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Assumptions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30% demo-to-pilot conversion 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60% pilot-to-paid conversion 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Average client processes 20 patents/month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Churn: 10%/month in first 6 months, declining to 5%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Conservative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Aggressive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Year 1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$500,000+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Year 1 API Costs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$10,000–15,000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Gross Margin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&gt;98%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&gt;97%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Clients (Month 12)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Count</w:t>
            </w:r>
          </w:p>
        </w:tc>
      </w:tr>
    </w:tbl>
    <w:p>
      <w:pPr>
        <w:spacing w:after="240"/>
      </w:pPr>
    </w:p>
    <w:p>
      <w:pPr>
        <w:pStyle w:val="Heading1"/>
        <w:spacing w:before="24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Risks &amp; Mitigations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dependency on Anthropic: </w:t>
      </w:r>
      <w:r>
        <w:rPr>
          <w:rFonts w:ascii="Arial" w:cs="Arial" w:eastAsia="Arial" w:hAnsi="Arial"/>
          <w:sz w:val="22"/>
          <w:szCs w:val="22"/>
        </w:rPr>
        <w:t xml:space="preserve">Mitigate by abstracting the API layer to support OpenAI/Google as fallbacks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inconsistency across domains: </w:t>
      </w:r>
      <w:r>
        <w:rPr>
          <w:rFonts w:ascii="Arial" w:cs="Arial" w:eastAsia="Arial" w:hAnsi="Arial"/>
          <w:sz w:val="22"/>
          <w:szCs w:val="22"/>
        </w:rPr>
        <w:t xml:space="preserve">Mitigate with domain-specific few-shot calibration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LSP adoption friction: </w:t>
      </w:r>
      <w:r>
        <w:rPr>
          <w:rFonts w:ascii="Arial" w:cs="Arial" w:eastAsia="Arial" w:hAnsi="Arial"/>
          <w:sz w:val="22"/>
          <w:szCs w:val="22"/>
        </w:rPr>
        <w:t xml:space="preserve">Mitigate by offering TMS export formats early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Competition from DeepL/Google adding QE: </w:t>
      </w:r>
      <w:r>
        <w:rPr>
          <w:rFonts w:ascii="Arial" w:cs="Arial" w:eastAsia="Arial" w:hAnsi="Arial"/>
          <w:sz w:val="22"/>
          <w:szCs w:val="22"/>
        </w:rPr>
        <w:t xml:space="preserve">Mitigate by deepening the structural analysis moat — German syntax expertise is hard to replicate with generic approaches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Regulatory: </w:t>
      </w:r>
      <w:r>
        <w:rPr>
          <w:rFonts w:ascii="Arial" w:cs="Arial" w:eastAsia="Arial" w:hAnsi="Arial"/>
          <w:sz w:val="22"/>
          <w:szCs w:val="22"/>
        </w:rPr>
        <w:t xml:space="preserve">Patent translations may have legal implications — include disclaimer that GlossWerk output requires human review</w:t>
      </w:r>
    </w:p>
    <w:p>
      <w:pPr>
        <w:pStyle w:val="Heading1"/>
        <w:spacing w:before="24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Next Steps (Immediate)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Register glosswerk.com domain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landing page and auth-gated demo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Outreach to 15 LSPs with personalized demo invitations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pipeline on 5+ patents across different technical domains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Build 30-day pilot pricing and terms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t xml:space="preserve">Page </w:t>
    </w:r>
    <w:r>
      <w:rPr>
        <w:rFonts w:ascii="Arial" w:cs="Arial" w:eastAsia="Arial" w:hAnsi="Arial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20"/>
        <w:szCs w:val="20"/>
      </w:rPr>
      <w:t xml:space="preserve">GlossWerk — Business Plan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2026-03-23T20:01:43.015Z</dcterms:created>
  <dcterms:modified xsi:type="dcterms:W3CDTF">2026-03-23T20:01:43.015Z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