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Master Service Agreement 2026</w:t>
      </w:r>
    </w:p>
    <w:p>
      <w:pPr>
        <w:pStyle w:val="IntenseQuote"/>
      </w:pPr>
      <w:r>
        <w:t>This document is highly confidential.</w:t>
      </w:r>
    </w:p>
    <w:p>
      <w:pPr>
        <w:pStyle w:val="Heading1"/>
      </w:pPr>
      <w:r>
        <w:t>1. Background &amp; Scope</w:t>
      </w:r>
    </w:p>
    <w:p>
      <w:r>
        <w:t xml:space="preserve">This agreement establishes the terms for the AI transformation project. </w:t>
      </w:r>
      <w:r>
        <w:rPr>
          <w:b/>
        </w:rPr>
        <w:t xml:space="preserve">The project MUST be delivered by Q4. </w:t>
      </w:r>
      <w:r>
        <w:rPr>
          <w:i/>
        </w:rPr>
        <w:t>Failure to do so will result in a 10% penalty.</w:t>
      </w:r>
    </w:p>
    <w:p>
      <w:pPr>
        <w:pStyle w:val="Heading1"/>
      </w:pPr>
      <w:r>
        <w:t>2. Deliverables &amp; Pricing (Table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RAG Knowledge Base Setup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Agentic Workflow Orchestration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Multimodal Model Deployment</w:t>
            </w:r>
          </w:p>
        </w:tc>
        <w:tc>
          <w:tcPr>
            <w:tcW w:type="dxa" w:w="2880"/>
          </w:tcPr>
          <w:p>
            <w:r>
              <w:t>$80,000</w:t>
            </w:r>
          </w:p>
        </w:tc>
      </w:tr>
    </w:tbl>
    <w:p>
      <w:pPr>
        <w:pStyle w:val="Heading1"/>
      </w:pPr>
      <w:r>
        <w:t>3. Legal Clauses</w:t>
      </w:r>
    </w:p>
    <w:p>
      <w:pPr>
        <w:pStyle w:val="ListBullet"/>
      </w:pPr>
      <w:r>
        <w:t>Any dispute shall be resolved via arbitration in San Francisco, 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