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Adams Manor Consulting. (2011). Twitter as a random number generator. Retrieved December 15, 2014, from </w:t>
      </w: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http://adamsmanor.net/article3.html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Bailey, F. (2014, September 30). Phirehose: PHP interface to the Twitter Streaming API. Retrieved November 3, 2014, from </w:t>
      </w: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https://github.com/fennb/phirehose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Bodnar, J. (2014, October 7). MySQL Python tutorial. Retrieved January 5, 2015, from http://zetcode.com/db/mysqlpython/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Cruise, B. (2014, April 28). RSA encryption: Step 1. Retrieved January 4, 2015, from https://www.khanacademy.org/computing/computer-science/cryptography/modern-crypt/v/intro-to-rsa-encryption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Haahr, M. (n.d.). Introduction to Randomness and Random Numbers. Retrieved October 6, 2014, from </w:t>
      </w: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https://www.random.org/randomness/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Mlodinow, L. (2008).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rtl w:val="0"/>
        </w:rPr>
        <w:t xml:space="preserve">The Drunkard's Walk: How Randomness Rules Our Lives</w:t>
      </w: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. New York: Random House.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Parallella. (2014). GET STARTED. Retrieved January 5, 2015, from https://www.parallella.org/get-started/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Ponemon Institute. (2013, May 1). 2013 Cost of Data Breach Study: Global Analysis. Retrieved January 7, 2015, from https://www4.symantec.com/mktginfo/whitepaper/053013_GL_NA_WP_Ponemon-2013-Cost-of-a-Data-Breach-Report_daiNA_cta72382.pdf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Achour, M., Betz, F., Doval, A., </w:t>
      </w: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et. al. (2014, December 26).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rtl w:val="0"/>
        </w:rPr>
        <w:t xml:space="preserve">PHP Manual </w:t>
      </w: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Retrieved from </w:t>
      </w: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http://php.net/manual/en/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Walker, J. (n.d.). Introduction to Probability and Statistics. Retrieved January 3, 2015, from http://www.fourmilab.ch/rpkp/experiments/statistics.html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Zhao, L., Liao, X., Xiao, D., Xiang, T., Zhou, Q., &amp; Duan, S. (2009). True random number generation from mobile telephone photo based on chaotic cryptography.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rtl w:val="0"/>
        </w:rPr>
        <w:t xml:space="preserve">Chaos, Solitons &amp; Fractals,</w:t>
      </w:r>
      <w:r w:rsidDel="00000000" w:rsidR="00000000" w:rsidRPr="00000000">
        <w:rPr>
          <w:rFonts w:ascii="Open Sans" w:cs="Open Sans" w:eastAsia="Open Sans" w:hAnsi="Open Sans"/>
          <w:sz w:val="24"/>
          <w:rtl w:val="0"/>
        </w:rPr>
        <w:t xml:space="preserve"> 1692-1699. Retrieved October 6, 2014, from Science Direct.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Open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