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3347EA" w:rsidRDefault="00000000">
      <w:r>
        <w:t>TITLE</w:t>
      </w:r>
    </w:p>
    <w:p w14:paraId="00000002" w14:textId="77777777" w:rsidR="003347EA" w:rsidRDefault="00000000">
      <w:r>
        <w:t>Local cone topography influences detection and color naming of small spots</w:t>
      </w:r>
    </w:p>
    <w:p w14:paraId="00000003" w14:textId="77777777" w:rsidR="003347EA" w:rsidRDefault="003347EA"/>
    <w:p w14:paraId="00000004" w14:textId="77777777" w:rsidR="003347EA" w:rsidRDefault="003347EA"/>
    <w:p w14:paraId="6AF8DEA3" w14:textId="5D5B8DCB" w:rsidR="0020389B" w:rsidRDefault="00000000">
      <w:r>
        <w:t>INTRODUCTION</w:t>
      </w:r>
    </w:p>
    <w:p w14:paraId="7822533D" w14:textId="0003437D" w:rsidR="00B1585E" w:rsidRDefault="00B1585E"/>
    <w:p w14:paraId="2F925BEB" w14:textId="2D66E4D7" w:rsidR="00E71CAA" w:rsidRDefault="00B1585E">
      <w:r>
        <w:t xml:space="preserve">The relative numbers of L and M cones in the eye can vary substantially between human trichromats. The existence of such diversity at the first stage of retinal processing was first supposed based on </w:t>
      </w:r>
      <w:r w:rsidR="00283F10">
        <w:t xml:space="preserve">intersubject </w:t>
      </w:r>
      <w:r>
        <w:t xml:space="preserve">differences in luminance efficiencies </w:t>
      </w:r>
      <w:r w:rsidRPr="0055142D">
        <w:rPr>
          <w:highlight w:val="yellow"/>
        </w:rPr>
        <w:t>(De Vries 194</w:t>
      </w:r>
      <w:r w:rsidR="0055142D">
        <w:rPr>
          <w:highlight w:val="yellow"/>
        </w:rPr>
        <w:t>6; De Vries 1949</w:t>
      </w:r>
      <w:r w:rsidRPr="0055142D">
        <w:rPr>
          <w:highlight w:val="yellow"/>
        </w:rPr>
        <w:t>)</w:t>
      </w:r>
      <w:r>
        <w:t xml:space="preserve">, and </w:t>
      </w:r>
      <w:r w:rsidR="00283F10">
        <w:t xml:space="preserve">later </w:t>
      </w:r>
      <w:r>
        <w:t xml:space="preserve">confirmed by </w:t>
      </w:r>
      <w:r w:rsidR="0055142D">
        <w:t xml:space="preserve">molecular and adaptive optics-densitometric </w:t>
      </w:r>
      <w:r w:rsidR="00E71CAA">
        <w:t>methods</w:t>
      </w:r>
      <w:r w:rsidR="0055142D">
        <w:t xml:space="preserve"> </w:t>
      </w:r>
      <w:r w:rsidRPr="0055142D">
        <w:rPr>
          <w:highlight w:val="yellow"/>
        </w:rPr>
        <w:t>(</w:t>
      </w:r>
      <w:r w:rsidR="0055142D">
        <w:rPr>
          <w:highlight w:val="yellow"/>
        </w:rPr>
        <w:t>Hagstrom, Neitz, &amp; Neitz 1998</w:t>
      </w:r>
      <w:r w:rsidR="00E71CAA">
        <w:rPr>
          <w:highlight w:val="yellow"/>
        </w:rPr>
        <w:t>; Roorda et al. 1999,</w:t>
      </w:r>
      <w:r w:rsidR="0055142D">
        <w:rPr>
          <w:highlight w:val="yellow"/>
        </w:rPr>
        <w:t xml:space="preserve"> </w:t>
      </w:r>
      <w:r w:rsidRPr="0055142D">
        <w:rPr>
          <w:highlight w:val="yellow"/>
        </w:rPr>
        <w:t>Hofer et al. 2005)</w:t>
      </w:r>
      <w:r>
        <w:t>.</w:t>
      </w:r>
      <w:r w:rsidR="00E71CAA">
        <w:t xml:space="preserve"> </w:t>
      </w:r>
      <w:r w:rsidR="00283F10">
        <w:t>In addition to</w:t>
      </w:r>
      <w:r w:rsidR="00E71CAA">
        <w:t xml:space="preserve"> variations in </w:t>
      </w:r>
      <w:r w:rsidR="007871AA">
        <w:t>L/M</w:t>
      </w:r>
      <w:r w:rsidR="00E71CAA">
        <w:t xml:space="preserve"> ratio, the spatial distribution of L and M cones is highly non-uniform (</w:t>
      </w:r>
      <w:r w:rsidR="00E71CAA" w:rsidRPr="00E71CAA">
        <w:rPr>
          <w:highlight w:val="yellow"/>
        </w:rPr>
        <w:t>Roorda et al. 2001, Hofer et al. 2005</w:t>
      </w:r>
      <w:r w:rsidR="00E71CAA">
        <w:t>).</w:t>
      </w:r>
    </w:p>
    <w:p w14:paraId="6746CA86" w14:textId="09E8083E" w:rsidR="00E71CAA" w:rsidRDefault="00E71CAA">
      <w:r>
        <w:t xml:space="preserve"> </w:t>
      </w:r>
    </w:p>
    <w:p w14:paraId="51811643" w14:textId="477E0B38" w:rsidR="00161B7A" w:rsidRDefault="00E71CAA" w:rsidP="00161B7A">
      <w:r>
        <w:t xml:space="preserve">The ways in which </w:t>
      </w:r>
      <w:r w:rsidR="00283F10">
        <w:t xml:space="preserve">cone mosaic </w:t>
      </w:r>
      <w:r>
        <w:t xml:space="preserve">randomness and </w:t>
      </w:r>
      <w:r w:rsidR="00283F10">
        <w:t xml:space="preserve">variability </w:t>
      </w:r>
      <w:r>
        <w:t xml:space="preserve">within and between individuals affects spatial and color vision are not yet fully understood. </w:t>
      </w:r>
      <w:r w:rsidR="00283F10">
        <w:t>A</w:t>
      </w:r>
      <w:r>
        <w:t xml:space="preserve">daptive optics-based </w:t>
      </w:r>
      <w:r w:rsidR="00CE5A06">
        <w:t>technology</w:t>
      </w:r>
      <w:r>
        <w:t xml:space="preserve"> </w:t>
      </w:r>
      <w:r w:rsidR="00CE5A06">
        <w:t>is</w:t>
      </w:r>
      <w:r>
        <w:t xml:space="preserve"> well suited to </w:t>
      </w:r>
      <w:r w:rsidR="00283F10">
        <w:t>advance our understanding of this matter</w:t>
      </w:r>
      <w:r>
        <w:t xml:space="preserve">, since </w:t>
      </w:r>
      <w:r w:rsidR="00CE5A06">
        <w:t>it</w:t>
      </w:r>
      <w:r>
        <w:t xml:space="preserve"> </w:t>
      </w:r>
      <w:r w:rsidR="00283F10">
        <w:t>enable</w:t>
      </w:r>
      <w:r w:rsidR="00CE5A06">
        <w:t>s</w:t>
      </w:r>
      <w:r>
        <w:t xml:space="preserve"> </w:t>
      </w:r>
      <w:r w:rsidR="00161B7A">
        <w:t>the spectral classification of single cones, and in turn the study of how perception depends on stimulating cones of known spectral type (</w:t>
      </w:r>
      <w:r w:rsidR="00161B7A" w:rsidRPr="00161B7A">
        <w:rPr>
          <w:highlight w:val="yellow"/>
        </w:rPr>
        <w:t>Sabesan et al. 2016; Schmidt et al. 2018; Schmidt et al. 2019</w:t>
      </w:r>
      <w:r w:rsidR="00161B7A">
        <w:t>).</w:t>
      </w:r>
    </w:p>
    <w:p w14:paraId="5984B0FD" w14:textId="77777777" w:rsidR="00161B7A" w:rsidRDefault="00161B7A" w:rsidP="00161B7A"/>
    <w:p w14:paraId="7467BD69" w14:textId="3961D2FC" w:rsidR="00C374FA" w:rsidRDefault="00161B7A" w:rsidP="00161B7A">
      <w:r>
        <w:t xml:space="preserve">The central question of the present study is </w:t>
      </w:r>
      <w:r w:rsidR="00775279">
        <w:t>how</w:t>
      </w:r>
      <w:r>
        <w:t xml:space="preserve"> sensitivity to small spots depends on the </w:t>
      </w:r>
      <w:r w:rsidR="007871AA">
        <w:t>L/M</w:t>
      </w:r>
      <w:r>
        <w:t xml:space="preserve"> ratio of the stimulated retinal patch. Previous work has been done under the</w:t>
      </w:r>
      <w:r w:rsidR="00CE5A06">
        <w:t xml:space="preserve"> reasonable </w:t>
      </w:r>
      <w:r>
        <w:t xml:space="preserve">assumption that </w:t>
      </w:r>
      <w:r w:rsidR="00CE5A06">
        <w:t>the perception of small or punctate stimuli</w:t>
      </w:r>
      <w:r>
        <w:t xml:space="preserve"> should depend on cone topography, with the consequence being that detection and appearance data collected </w:t>
      </w:r>
      <w:r w:rsidR="004C2D02">
        <w:t>with</w:t>
      </w:r>
      <w:r>
        <w:t xml:space="preserve"> </w:t>
      </w:r>
      <w:r w:rsidR="00CE5A06">
        <w:t>such stimuli</w:t>
      </w:r>
      <w:r>
        <w:t xml:space="preserve"> could be used to psychophysically assess the </w:t>
      </w:r>
      <w:r w:rsidR="007871AA">
        <w:t>L/M</w:t>
      </w:r>
      <w:r>
        <w:t xml:space="preserve"> ratio</w:t>
      </w:r>
      <w:r w:rsidR="004C2D02">
        <w:t xml:space="preserve"> </w:t>
      </w:r>
      <w:r w:rsidR="004C2D02" w:rsidRPr="00CE5A06">
        <w:rPr>
          <w:highlight w:val="yellow"/>
        </w:rPr>
        <w:t xml:space="preserve">(Cicerone &amp; Nerger 1989; </w:t>
      </w:r>
      <w:r w:rsidR="00775279" w:rsidRPr="00CE5A06">
        <w:rPr>
          <w:highlight w:val="yellow"/>
        </w:rPr>
        <w:t xml:space="preserve">Vimal et al. 1989; Wesner et al. 1991; </w:t>
      </w:r>
      <w:r w:rsidR="004C2D02" w:rsidRPr="00CE5A06">
        <w:rPr>
          <w:highlight w:val="yellow"/>
        </w:rPr>
        <w:t>Otake, Gowdy, &amp; Cicerone 2000</w:t>
      </w:r>
      <w:r w:rsidR="00775279" w:rsidRPr="00CE5A06">
        <w:rPr>
          <w:highlight w:val="yellow"/>
        </w:rPr>
        <w:t>)</w:t>
      </w:r>
      <w:r w:rsidRPr="00CE5A06">
        <w:rPr>
          <w:highlight w:val="yellow"/>
        </w:rPr>
        <w:t>.</w:t>
      </w:r>
      <w:r w:rsidR="00CE5A06">
        <w:t xml:space="preserve"> In contrast to this earlier work, </w:t>
      </w:r>
      <w:r w:rsidR="00B4372E">
        <w:t xml:space="preserve">the investigation described herein begins with objective cone spectral classifications in </w:t>
      </w:r>
      <w:r w:rsidR="00C374FA">
        <w:t>hand and</w:t>
      </w:r>
      <w:r w:rsidR="00B4372E">
        <w:t xml:space="preserve"> examines the effects of delivering stimuli to different contiguous sets of L, M and S cones. </w:t>
      </w:r>
    </w:p>
    <w:p w14:paraId="386BCDB3" w14:textId="77777777" w:rsidR="00C374FA" w:rsidRDefault="00C374FA" w:rsidP="00161B7A"/>
    <w:p w14:paraId="18C0EF5A" w14:textId="74FD831D" w:rsidR="00161B7A" w:rsidRDefault="00C374FA" w:rsidP="00161B7A">
      <w:r>
        <w:t xml:space="preserve">We measured the detectability and color appearance of small flashes of narrowband long-wavelength and middle-wavelength light presented through an adaptive optics scanning laser ophthalmoscope (AOSLO) to retinal loci with known </w:t>
      </w:r>
      <w:r w:rsidR="007871AA">
        <w:t>L/M</w:t>
      </w:r>
      <w:r>
        <w:t xml:space="preserve"> ratio. We compared our results to predictions made under the assumption that mechanism mediating detection is one that sums L and M-cone signals with equal weight. If the assumption were valid, sensitivity to long-wavelength spots that drive L cones more than M cones should grow with the proportion of L cones stimulated. Finally, our results were compared to thresholds predicted from an ideal observer analysis that incorporated the subjects cone mosaics, as well as the mitigation of optical aberrations and fixational eye movements afforded by our AOSLO platform. </w:t>
      </w:r>
    </w:p>
    <w:p w14:paraId="3A4B486E" w14:textId="77777777" w:rsidR="00B4372E" w:rsidRDefault="00B4372E" w:rsidP="00161B7A"/>
    <w:p w14:paraId="1A5EA041" w14:textId="77777777" w:rsidR="00C374FA" w:rsidRDefault="00C374FA" w:rsidP="00161B7A"/>
    <w:p w14:paraId="61AF07E4" w14:textId="77777777" w:rsidR="00B4372E" w:rsidRDefault="00B4372E" w:rsidP="00161B7A"/>
    <w:p w14:paraId="7CFA3353" w14:textId="77777777" w:rsidR="0020389B" w:rsidRPr="0028512C" w:rsidRDefault="0020389B">
      <w:pPr>
        <w:rPr>
          <w:u w:val="single"/>
        </w:rPr>
      </w:pPr>
    </w:p>
    <w:p w14:paraId="1ECF12B5" w14:textId="77777777" w:rsidR="0020389B" w:rsidRDefault="0020389B"/>
    <w:p w14:paraId="00000006" w14:textId="77777777" w:rsidR="003347EA" w:rsidRDefault="003347EA"/>
    <w:p w14:paraId="00000007" w14:textId="77777777" w:rsidR="003347EA" w:rsidRDefault="00000000">
      <w:r>
        <w:lastRenderedPageBreak/>
        <w:t>METHODS</w:t>
      </w:r>
    </w:p>
    <w:p w14:paraId="00000008" w14:textId="77777777" w:rsidR="003347EA" w:rsidRDefault="003347EA"/>
    <w:p w14:paraId="00000009" w14:textId="77777777" w:rsidR="003347EA" w:rsidRDefault="00000000">
      <w:r>
        <w:t>Subjects</w:t>
      </w:r>
    </w:p>
    <w:p w14:paraId="0000000A" w14:textId="77777777" w:rsidR="003347EA" w:rsidRDefault="00000000">
      <w:r>
        <w:t xml:space="preserve"> </w:t>
      </w:r>
    </w:p>
    <w:p w14:paraId="0000000B" w14:textId="671246B9" w:rsidR="003347EA" w:rsidRDefault="00000000">
      <w:r>
        <w:t xml:space="preserve">Two authors of the present study volunteered as experimental observers (subjects 10001R and 20217R). Both are males (ages XXX and XXX) with normal color vision as assessed by a Neitz anomaloscope and/or pseudoisochromatic plates viewed under standard illuminant C. Both participants have extensive experience as adaptive optics psychophysics subjects. The subjects’ cone spectral identities were previously determined by </w:t>
      </w:r>
      <w:proofErr w:type="spellStart"/>
      <w:proofErr w:type="gramStart"/>
      <w:r>
        <w:t>optoretinongraphy</w:t>
      </w:r>
      <w:proofErr w:type="spellEnd"/>
      <w:proofErr w:type="gramEnd"/>
      <w:r w:rsidR="00384A34">
        <w:t xml:space="preserve"> </w:t>
      </w:r>
      <w:r>
        <w:t>a technique based on adaptive optics optical coherence tomography</w:t>
      </w:r>
      <w:r w:rsidR="00A50DA4">
        <w:t xml:space="preserve"> </w:t>
      </w:r>
      <w:r w:rsidR="00F44745" w:rsidRPr="00F83ADF">
        <w:t>(</w:t>
      </w:r>
      <w:r w:rsidR="00F83ADF" w:rsidRPr="00F83ADF">
        <w:t>AO-OCT</w:t>
      </w:r>
      <w:r w:rsidR="00F83ADF">
        <w:t>;</w:t>
      </w:r>
      <w:r w:rsidR="00F83ADF" w:rsidRPr="00F83ADF">
        <w:t xml:space="preserve"> </w:t>
      </w:r>
      <w:r w:rsidR="00F44745" w:rsidRPr="005B731E">
        <w:rPr>
          <w:highlight w:val="yellow"/>
        </w:rPr>
        <w:t>Pan</w:t>
      </w:r>
      <w:r w:rsidR="00CC79EE">
        <w:rPr>
          <w:highlight w:val="yellow"/>
        </w:rPr>
        <w:t>di</w:t>
      </w:r>
      <w:r w:rsidR="00F44745" w:rsidRPr="005B731E">
        <w:rPr>
          <w:highlight w:val="yellow"/>
        </w:rPr>
        <w:t>yan et al. 2020)</w:t>
      </w:r>
      <w:r>
        <w:t>.</w:t>
      </w:r>
      <w:r w:rsidR="00F83ADF">
        <w:t xml:space="preserve"> Cone classification with AO-OCT is faster</w:t>
      </w:r>
      <w:r w:rsidR="00716C0B">
        <w:t xml:space="preserve"> more sensitive than AO-densitometry (Pandiyan et al. 2022)</w:t>
      </w:r>
      <w:r w:rsidR="00F83ADF">
        <w:t xml:space="preserve"> </w:t>
      </w:r>
      <w:r>
        <w:t xml:space="preserve">Cone types are known within a 1.37 x 1.1 deg patch of retina at 2 deg temporal eccentricity and within a 0.86 x 0.93 deg patch of retina at 2.5 deg temporal eccentricity for subjects 10001R and 20217R, respectively. These cone-classified regions are shown in Figure 1A. Within his classified region, subject 10001R’s </w:t>
      </w:r>
      <w:r w:rsidR="007871AA">
        <w:t>L/M</w:t>
      </w:r>
      <w:r>
        <w:t xml:space="preserve"> ratio is XXX, while subject 20217R’s </w:t>
      </w:r>
      <w:r w:rsidR="007871AA">
        <w:t>L/M</w:t>
      </w:r>
      <w:r>
        <w:t xml:space="preserve"> ratio is XXX. </w:t>
      </w:r>
    </w:p>
    <w:p w14:paraId="0000000C" w14:textId="77777777" w:rsidR="003347EA" w:rsidRDefault="003347EA"/>
    <w:p w14:paraId="0000000D" w14:textId="77777777" w:rsidR="003347EA" w:rsidRDefault="00000000">
      <w:r>
        <w:t>Computation of Proportion L</w:t>
      </w:r>
    </w:p>
    <w:p w14:paraId="0000000E" w14:textId="77777777" w:rsidR="003347EA" w:rsidRDefault="003347EA"/>
    <w:p w14:paraId="0000000F" w14:textId="28D0C398" w:rsidR="003347EA" w:rsidRDefault="00000000">
      <w:r>
        <w:t>The assortment of L and M cones hit by the stimulus is characterized in this paper as the “proportion L”: the number of L cones divided by the total number of illuminated L and M cones. A simple way to count the number of stimulated cones would be to sum the number of cone centers that fall within the boundary of the retinal image. However, due to diffraction, the boundary of the retinal image is ambiguous. Additionally, a single cone transmits light over an extended area and not just a single point. Our calculation of proportion L accounted for these nuances. We represented the cone mosaic as an array of two-dimensional Gaussians, which approximate the cone’s aperture function</w:t>
      </w:r>
      <w:r w:rsidR="005B731E">
        <w:t xml:space="preserve"> </w:t>
      </w:r>
      <w:r w:rsidR="005B731E" w:rsidRPr="005B731E">
        <w:rPr>
          <w:highlight w:val="yellow"/>
        </w:rPr>
        <w:t xml:space="preserve">(MacLeod, Williams, &amp; </w:t>
      </w:r>
      <w:proofErr w:type="spellStart"/>
      <w:r w:rsidR="005B731E" w:rsidRPr="005B731E">
        <w:rPr>
          <w:highlight w:val="yellow"/>
        </w:rPr>
        <w:t>Makous</w:t>
      </w:r>
      <w:proofErr w:type="spellEnd"/>
      <w:r w:rsidR="005B731E" w:rsidRPr="005B731E">
        <w:rPr>
          <w:highlight w:val="yellow"/>
        </w:rPr>
        <w:t xml:space="preserve"> 1992)</w:t>
      </w:r>
      <w:r w:rsidRPr="005B731E">
        <w:rPr>
          <w:highlight w:val="yellow"/>
        </w:rPr>
        <w:t>.</w:t>
      </w:r>
      <w:r>
        <w:t xml:space="preserve"> Each Gaussian had a full width at half maximum of XXX and a volume of one. The spatial distribution of light on the retina during stimulation was computed by convolving an intensity-normalized distribution of light defined by the shape of the stimulus with a point spread function aberrated by 0.05 D of defocus. The point spread function’s volume was normalized to unity, and </w:t>
      </w:r>
      <w:r w:rsidR="004E516A">
        <w:t>its</w:t>
      </w:r>
      <w:r>
        <w:t xml:space="preserve"> width was determined by the central wavelength of the stimulus (</w:t>
      </w:r>
      <w:proofErr w:type="spellStart"/>
      <w:r>
        <w:t>i.e</w:t>
      </w:r>
      <w:proofErr w:type="spellEnd"/>
      <w:r>
        <w:t>, 543 nm or 680 nm). The retinal light distribution was multiplied with the array of L, M, or S cone aperture functions, and the integral of this product gave the number of cones of a particular spectral type that received the stimulus. Therefore, the number of stimulated L</w:t>
      </w:r>
      <w:r w:rsidR="004E516A">
        <w:t xml:space="preserve"> (or M, or S) cones</w:t>
      </w:r>
      <w:r>
        <w:t xml:space="preserve"> is related to the amount of delivered light accepted by the L</w:t>
      </w:r>
      <w:r w:rsidR="004E516A">
        <w:t xml:space="preserve"> (or M, or S) </w:t>
      </w:r>
      <w:proofErr w:type="spellStart"/>
      <w:r>
        <w:t>submosaic</w:t>
      </w:r>
      <w:proofErr w:type="spellEnd"/>
      <w:r>
        <w:t xml:space="preserve">. The proportion L reported for a given threshold measurement is the average proportion L averaged across trials. In cases where not all of the cones </w:t>
      </w:r>
      <w:proofErr w:type="gramStart"/>
      <w:r>
        <w:t>hit</w:t>
      </w:r>
      <w:proofErr w:type="gramEnd"/>
      <w:r>
        <w:t xml:space="preserve"> were classified, the range of possible proportion L (assuming all the unclassified cones </w:t>
      </w:r>
      <w:r w:rsidR="004E516A">
        <w:t>were</w:t>
      </w:r>
      <w:r>
        <w:t xml:space="preserve"> either L or M) is given in addition to the proportion L computed from only the classified cones. </w:t>
      </w:r>
    </w:p>
    <w:p w14:paraId="00000010" w14:textId="77777777" w:rsidR="003347EA" w:rsidRDefault="003347EA"/>
    <w:p w14:paraId="00000011" w14:textId="77777777" w:rsidR="003347EA" w:rsidRDefault="003347EA"/>
    <w:p w14:paraId="00000012" w14:textId="77777777" w:rsidR="003347EA" w:rsidRDefault="00000000">
      <w:r>
        <w:t>Retinal imaging and stimulation with adaptive optics</w:t>
      </w:r>
    </w:p>
    <w:p w14:paraId="00000013" w14:textId="77777777" w:rsidR="003347EA" w:rsidRDefault="003347EA"/>
    <w:p w14:paraId="00000014" w14:textId="005CBB15" w:rsidR="003347EA" w:rsidRDefault="00000000">
      <w:r>
        <w:lastRenderedPageBreak/>
        <w:t>We measured the relationship between increment sensitivity and cone topography by stimulating retinal loci that differ in constituent L and M cone number. Deliberate stimulus placement at designated points of the photoreceptor mosaic required taking high resolution images of the retina, which we accomplished with an adaptive optics scanning laser ophthalmoscope (AOSLO). Our AOSLO, which is described in greater detail elsewhere</w:t>
      </w:r>
      <w:r w:rsidR="005B731E">
        <w:t xml:space="preserve"> </w:t>
      </w:r>
      <w:r w:rsidR="005B731E" w:rsidRPr="005B731E">
        <w:rPr>
          <w:highlight w:val="yellow"/>
        </w:rPr>
        <w:t>(</w:t>
      </w:r>
      <w:proofErr w:type="spellStart"/>
      <w:r w:rsidR="005B731E" w:rsidRPr="005B731E">
        <w:rPr>
          <w:highlight w:val="yellow"/>
        </w:rPr>
        <w:t>Mozafarri</w:t>
      </w:r>
      <w:proofErr w:type="spellEnd"/>
      <w:r w:rsidR="005B731E" w:rsidRPr="005B731E">
        <w:rPr>
          <w:highlight w:val="yellow"/>
        </w:rPr>
        <w:t xml:space="preserve"> et al. 2020)</w:t>
      </w:r>
      <w:r>
        <w:t>, raster scanned light from four channels onto the retina. These channels were: a 940 (±XXX) nm channel for wavefront sensing, a</w:t>
      </w:r>
      <w:r w:rsidR="004E516A">
        <w:t>n</w:t>
      </w:r>
      <w:r>
        <w:t xml:space="preserve"> 840 (±XXX) nm channel f</w:t>
      </w:r>
      <w:r w:rsidR="004E516A">
        <w:t>or</w:t>
      </w:r>
      <w:r>
        <w:t xml:space="preserve"> imaging, and two stimulation channels – 680 nm (±XXX) or “red” and 543 nm (±XXX) or “green”.  The vergences of each channel were adjusted to counteract the longitudinal chromatic aberration of the typical human eye, as approximated by equation 5a of Atchison &amp; Smith (2005). Two scanning mirrors, a 16 </w:t>
      </w:r>
      <w:proofErr w:type="spellStart"/>
      <w:r>
        <w:t>KHz</w:t>
      </w:r>
      <w:proofErr w:type="spellEnd"/>
      <w:r>
        <w:t xml:space="preserve"> horizontal resonant scanner and a 30 Hz vertical galvanometer scanner, produced the raster scan and hence set the 30 Hz frame rate of the display. Photomultiplier tubes detected light returning from the retina, which was sampled at 20 MHz during the middle 80% of the forward scan to generate 512 x </w:t>
      </w:r>
      <w:proofErr w:type="gramStart"/>
      <w:r>
        <w:t>512 pixel</w:t>
      </w:r>
      <w:proofErr w:type="gramEnd"/>
      <w:r>
        <w:t xml:space="preserve"> images. In the present experiment, the imaging field of view was about 0.9</w:t>
      </w:r>
      <w:r w:rsidR="004E516A">
        <w:t>1</w:t>
      </w:r>
      <w:r>
        <w:t xml:space="preserve"> degrees, and thus 1 pixel subtended ~0.11 arcminute. This is about a quarter of the imaging channel’s diffraction-limited point spread function bandwidth, assuming a 6.5 mm pupil. To draw stimuli at desired locations on the retina, acousto-optic modulators varied the intensity of the 543 nm or 680 nm light at appropriate points of the scan. Transverse chromatic aberration</w:t>
      </w:r>
      <w:r w:rsidR="00F44745">
        <w:t xml:space="preserve"> (TCA)</w:t>
      </w:r>
      <w:r>
        <w:t xml:space="preserve">, which would normally cause stimuli of different wavelengths to be laterally offset from one another on the retina, was measured using an image-based method </w:t>
      </w:r>
      <w:r w:rsidRPr="005B731E">
        <w:rPr>
          <w:highlight w:val="yellow"/>
        </w:rPr>
        <w:t>(Harmening et al. 2012),</w:t>
      </w:r>
      <w:r>
        <w:t xml:space="preserve"> and corrected by modulating the 543 nm and 680 nm light at different times within laser scan. </w:t>
      </w:r>
      <w:r w:rsidR="00F44745">
        <w:t>The subject used a bite bar during imaging which together with an X/Y/Z translation stage served to align the subject’s eye to the pupil plane of the system. To avoid changes in TCA with pupil position</w:t>
      </w:r>
      <w:r w:rsidR="005B731E">
        <w:t xml:space="preserve"> </w:t>
      </w:r>
      <w:r w:rsidR="005B731E" w:rsidRPr="005B731E">
        <w:rPr>
          <w:highlight w:val="yellow"/>
        </w:rPr>
        <w:t>(Boehm et al. 2019)</w:t>
      </w:r>
      <w:r w:rsidR="00F44745" w:rsidRPr="005B731E">
        <w:rPr>
          <w:highlight w:val="yellow"/>
        </w:rPr>
        <w:t>,</w:t>
      </w:r>
      <w:r w:rsidR="00F44745">
        <w:t xml:space="preserve"> the experimenter used the translation stage to negate deviations from the pupil position at the time of TCA measurement, which was marked in a video feed of the subject’s XXX Purkinje image. </w:t>
      </w:r>
      <w:r>
        <w:t>Prior to imaging, the subject’s eye was instilled with 1% tropicamide and 2.5% phenylephrine to dilate the pupil and freeze accommodation. A 1 second (i.e., 30 frame) video of the retina was recorded for each trial of the experiment.</w:t>
      </w:r>
    </w:p>
    <w:p w14:paraId="00000015" w14:textId="77777777" w:rsidR="003347EA" w:rsidRDefault="003347EA"/>
    <w:p w14:paraId="00000016" w14:textId="33FF1D5C" w:rsidR="003347EA" w:rsidRDefault="004E516A">
      <w:r>
        <w:t>Test stimuli and background</w:t>
      </w:r>
    </w:p>
    <w:p w14:paraId="00000017" w14:textId="77777777" w:rsidR="003347EA" w:rsidRDefault="003347EA"/>
    <w:p w14:paraId="00000018" w14:textId="02339898" w:rsidR="003347EA" w:rsidRDefault="00000000">
      <w:r>
        <w:t xml:space="preserve">All stimuli were squares, 2.25 arcminutes (21 pixels) </w:t>
      </w:r>
      <w:proofErr w:type="gramStart"/>
      <w:r>
        <w:t>in side</w:t>
      </w:r>
      <w:proofErr w:type="gramEnd"/>
      <w:r>
        <w:t xml:space="preserve"> length and 3 frames (~67 ms) in duration. Stimuli consisted of either 543 nm or 680 nm light, and were shown against a large achromatic field, which was made of light from a Maxwellian-view RGB projector in addition to the infrared light used for imaging and wavefront-sensing. Light leak from the stimulation channels contributed negligibly to the background. The projector furnished a 1</w:t>
      </w:r>
      <w:r w:rsidR="004E516A">
        <w:t>.1</w:t>
      </w:r>
      <w:r>
        <w:t xml:space="preserve"> deg square patch, which the subject aligned with the imaging raster to render the infrared light invisible, as well as a dimmer circular surround subtending 18 deg. Importantly, the projector also provided a small black spot used to aid the subject’s fixation. The experimenter could move the fixation marker so that the desired retinal location was centered in the imaging field of view. The luminance of the square background was XXX cd/m^2, and the luminance of the surround was XXX cd/m^2. Both background and surround were metameric to equal-energy </w:t>
      </w:r>
      <w:proofErr w:type="gramStart"/>
      <w:r>
        <w:t>white, and</w:t>
      </w:r>
      <w:proofErr w:type="gramEnd"/>
      <w:r>
        <w:t xml:space="preserve"> functioned to saturate rod activity and to approximately equalize activity in L, M, and S-cones. </w:t>
      </w:r>
      <w:r>
        <w:lastRenderedPageBreak/>
        <w:t>Before the start of the experiment, the subject adjusted the position of a Badal lens to focus the projector display.</w:t>
      </w:r>
    </w:p>
    <w:p w14:paraId="00000019" w14:textId="77777777" w:rsidR="003347EA" w:rsidRDefault="003347EA"/>
    <w:p w14:paraId="0000001A" w14:textId="77777777" w:rsidR="003347EA" w:rsidRDefault="00000000">
      <w:r>
        <w:t>Targeted stimulus delivery</w:t>
      </w:r>
    </w:p>
    <w:p w14:paraId="0000001B" w14:textId="77777777" w:rsidR="003347EA" w:rsidRDefault="003347EA"/>
    <w:p w14:paraId="0000001C" w14:textId="28A42CF2" w:rsidR="003347EA" w:rsidRDefault="00000000">
      <w:r>
        <w:t>Retinal locations for stimulation were chosen at the beginning of each experiment, and stimuli were locked in place at these locations during presentation. Accomplishing this required several steps. First, an image of the retina captured over a single frame interval was designated to serve as the initial reference frame. All subsequent frames were registered to the reference frame by a fast strip-based cross-correlation algorithm</w:t>
      </w:r>
      <w:r w:rsidR="005B731E">
        <w:t xml:space="preserve"> </w:t>
      </w:r>
      <w:r w:rsidR="005B731E" w:rsidRPr="005B731E">
        <w:rPr>
          <w:highlight w:val="yellow"/>
        </w:rPr>
        <w:t>(Arathorn et al. 2007</w:t>
      </w:r>
      <w:r w:rsidR="00140038">
        <w:rPr>
          <w:highlight w:val="yellow"/>
        </w:rPr>
        <w:t xml:space="preserve">; </w:t>
      </w:r>
      <w:r w:rsidR="005B731E" w:rsidRPr="005B731E">
        <w:rPr>
          <w:highlight w:val="yellow"/>
        </w:rPr>
        <w:t>Yang et al. 2010)</w:t>
      </w:r>
      <w:r w:rsidRPr="005B731E">
        <w:rPr>
          <w:highlight w:val="yellow"/>
        </w:rPr>
        <w:t>.</w:t>
      </w:r>
      <w:r>
        <w:t xml:space="preserve"> This yielded a live video of the photoreceptors in which displacements and distortions due to fixational eye movements were removed. Next, two seconds of stabilized video were recorded, and the frames of this video were averaged together to generate a high signal-to-noise image which supplanted the initial reference frame. The new reference image was compared to a previously taken image of the retina in which L, M, and S cones were labeled, and based on this comparison the experimenter chose coordinates in the reference image at which to deliver stimuli. The same process for video stabilization produced eye motion estimates that were used to track the points in the reference image selected for testing, so that stimuli could be reliably drawn at the desired loci. Stimulus delivery locations were marked in videos recorded during each trial with small crosses. Only trials in which the stimulus landed within 0.75 arcmin of the tracked retinal location for each frame of the delivery sequence contributed to threshold estimates. Of the included trials, the mean delivery error was XXX. Under the cone mosaics shown in Figure XXX are histograms which describe the diversity of </w:t>
      </w:r>
      <w:r w:rsidR="007871AA">
        <w:t>L/M</w:t>
      </w:r>
      <w:r>
        <w:t xml:space="preserve"> ratios among the tested retinal sites.  </w:t>
      </w:r>
    </w:p>
    <w:p w14:paraId="0000001D" w14:textId="77777777" w:rsidR="003347EA" w:rsidRDefault="00000000">
      <w:r>
        <w:t xml:space="preserve"> </w:t>
      </w:r>
    </w:p>
    <w:p w14:paraId="0000001E" w14:textId="77777777" w:rsidR="003347EA" w:rsidRDefault="00000000">
      <w:r>
        <w:t xml:space="preserve">Threshold measurements </w:t>
      </w:r>
    </w:p>
    <w:p w14:paraId="0000001F" w14:textId="77777777" w:rsidR="003347EA" w:rsidRDefault="003347EA"/>
    <w:p w14:paraId="00000020" w14:textId="4CE2E484" w:rsidR="003347EA" w:rsidRDefault="00000000">
      <w:r>
        <w:t xml:space="preserve">Subjects completed a </w:t>
      </w:r>
      <w:r w:rsidR="004E516A">
        <w:t xml:space="preserve">self-paced </w:t>
      </w:r>
      <w:r>
        <w:t xml:space="preserve">seen/not seen task to determine thresholds for detecting small flashes of 543 nm or 680 nm light on a white background. On each trial, the subject pressed a key to initiate stimulus </w:t>
      </w:r>
      <w:proofErr w:type="gramStart"/>
      <w:r>
        <w:t>presentation, and</w:t>
      </w:r>
      <w:proofErr w:type="gramEnd"/>
      <w:r>
        <w:t xml:space="preserve"> indicated with an additional keyboard press whether the stimulus appeared red, green, or achromatic, or if it was not seen. In the case of poor stimulus delivery (which might be caused by a </w:t>
      </w:r>
      <w:proofErr w:type="spellStart"/>
      <w:r>
        <w:t>microsaccade</w:t>
      </w:r>
      <w:proofErr w:type="spellEnd"/>
      <w:r>
        <w:t>, for instance), the experimenter instructed the subject to repeat the stimulus presentation and respond anew. Trial-to-trial stimulus intensities were generated from a Bayesian, adaptive staircase procedure, QUEST+</w:t>
      </w:r>
      <w:r w:rsidR="005B731E">
        <w:t xml:space="preserve"> </w:t>
      </w:r>
      <w:r w:rsidR="00140038" w:rsidRPr="00140038">
        <w:rPr>
          <w:highlight w:val="yellow"/>
        </w:rPr>
        <w:t>(Watson 2017)</w:t>
      </w:r>
      <w:r w:rsidRPr="00140038">
        <w:rPr>
          <w:highlight w:val="yellow"/>
        </w:rPr>
        <w:t>.</w:t>
      </w:r>
      <w:r>
        <w:t xml:space="preserve"> In each block, two staircases per test location ran in parallel, with one staircase starting at 25% of the maximum intensity and the other at 75%. Except for two early experimental sessions, each staircase contained 25 trials. On 20% of trials, the QUEST+ staircase output was </w:t>
      </w:r>
      <w:proofErr w:type="gramStart"/>
      <w:r>
        <w:t>ignored</w:t>
      </w:r>
      <w:proofErr w:type="gramEnd"/>
      <w:r>
        <w:t xml:space="preserve"> and stimulus intensity was drawn at random from a uniform distribution on the interval between 0 and the maximum intensity. Because threshold intensities were typically a very small fraction of the maximum power level, this was nearly equivalent to interspersing high intensity stimuli throughout the staircase. These random, high intensity stimuli served to maintain the subject’s attention, as well as to assess </w:t>
      </w:r>
      <w:proofErr w:type="spellStart"/>
      <w:r>
        <w:t>superthreshold</w:t>
      </w:r>
      <w:proofErr w:type="spellEnd"/>
      <w:r>
        <w:t xml:space="preserve"> color judgements. During a session, one hundred trials per location were collected for each of the two stimulus wavelengths. Three to six locations were tested per session. Weibull functions were fit </w:t>
      </w:r>
      <w:r>
        <w:lastRenderedPageBreak/>
        <w:t xml:space="preserve">to the staircase data with the Palamedes toolbox, and threshold was taken as the stimulus intensity that corresponded to a 50% frequency of seeing. </w:t>
      </w:r>
    </w:p>
    <w:p w14:paraId="00000021" w14:textId="77777777" w:rsidR="003347EA" w:rsidRDefault="003347EA"/>
    <w:p w14:paraId="00000022" w14:textId="77777777" w:rsidR="003347EA" w:rsidRDefault="003347EA"/>
    <w:p w14:paraId="00000023" w14:textId="77777777" w:rsidR="003347EA" w:rsidRDefault="00000000">
      <w:r>
        <w:t>Modeling</w:t>
      </w:r>
    </w:p>
    <w:p w14:paraId="00000024" w14:textId="77777777" w:rsidR="003347EA" w:rsidRDefault="003347EA"/>
    <w:p w14:paraId="00000025" w14:textId="77777777" w:rsidR="003347EA" w:rsidRDefault="00000000">
      <w:r>
        <w:t>Additive model</w:t>
      </w:r>
    </w:p>
    <w:p w14:paraId="00000026" w14:textId="77777777" w:rsidR="003347EA" w:rsidRDefault="003347EA"/>
    <w:p w14:paraId="00000027" w14:textId="16B240B3" w:rsidR="003347EA" w:rsidRDefault="00000000">
      <w:r>
        <w:t xml:space="preserve">A simple hypothesis is that sensitivity to </w:t>
      </w:r>
      <w:proofErr w:type="gramStart"/>
      <w:r>
        <w:t>briefly-presented</w:t>
      </w:r>
      <w:proofErr w:type="gramEnd"/>
      <w:r>
        <w:t xml:space="preserve"> small spots of light depends on the sum of the elicited cone signals. This would be consistent with a luminance-like pathway mediating detection, which we refer to noncommittally as a “non-opponent” or “additive” mechanism. Formally put, the response of such a mechanism R to light with the spectral power distribution P of unit retinal irradiance is given by the following expression:</w:t>
      </w:r>
    </w:p>
    <w:p w14:paraId="02BF0717" w14:textId="77777777" w:rsidR="0020389B" w:rsidRDefault="0020389B"/>
    <w:p w14:paraId="3DA17936" w14:textId="2881B162" w:rsidR="0020389B" w:rsidRDefault="0020389B">
      <w:r>
        <w:t>XXX</w:t>
      </w:r>
    </w:p>
    <w:p w14:paraId="00000028" w14:textId="77777777" w:rsidR="003347EA" w:rsidRDefault="003347EA"/>
    <w:p w14:paraId="00000029" w14:textId="378F5456" w:rsidR="003347EA" w:rsidRDefault="00000000">
      <w:r>
        <w:t>where L and M are the L and M cone quantal efficiencies at the cornea, respectively. Note that cone quantal efficiencies depend on pre-retinal filtering by the lens and macula, photopigment optical densities, and the wavelengths at which cone sensitivities peak. If psychophysical threshold is reached when the mechanism’s response is at a certain level, the ratio of red to green sensitivity equals the ratio of the responses to red and green light</w:t>
      </w:r>
      <w:r w:rsidR="0020389B">
        <w:t xml:space="preserve"> of equal quantal irradiance</w:t>
      </w:r>
      <w:r>
        <w:t xml:space="preserve">. Under this hypothesis, sensitivity to our 680 nm stimuli should grow with the relative number of L-cones stimulated, since L-cones absorb more in this part of the spectrum than M-cones. In contrast, sensitivity to 543 nm stimuli should remain nearly constant with </w:t>
      </w:r>
      <w:r w:rsidR="007871AA">
        <w:t>L/M</w:t>
      </w:r>
      <w:r>
        <w:t xml:space="preserve"> ratio, since L and M cones have similar sensitivities near 543 nm. Thus, the red/green sensitivity ratio is expected to increase with L-cone numerosity if the detection mechanism simply sums inputs from L and M cones. Figure XXX plots the sensitivity ratio of this additive mechanism as a function of the number of stimulated L-cones divided by the total number of stimulated L and M cones. The three curves shown were generated using different, </w:t>
      </w:r>
      <w:proofErr w:type="gramStart"/>
      <w:r>
        <w:t>biologically-plausible</w:t>
      </w:r>
      <w:proofErr w:type="gramEnd"/>
      <w:r>
        <w:t xml:space="preserve"> L-cone </w:t>
      </w:r>
      <w:proofErr w:type="spellStart"/>
      <w:r>
        <w:t>λ</w:t>
      </w:r>
      <w:r>
        <w:rPr>
          <w:vertAlign w:val="subscript"/>
        </w:rPr>
        <w:t>max</w:t>
      </w:r>
      <w:proofErr w:type="spellEnd"/>
      <w:r>
        <w:t xml:space="preserve"> values</w:t>
      </w:r>
      <w:r w:rsidR="00140038">
        <w:t xml:space="preserve"> (</w:t>
      </w:r>
      <w:r w:rsidR="00140038" w:rsidRPr="00140038">
        <w:rPr>
          <w:highlight w:val="yellow"/>
        </w:rPr>
        <w:t>Kraft, Neitz, &amp; Neitz 1998; Neitz &amp; Neitz 2011</w:t>
      </w:r>
      <w:r w:rsidR="00140038">
        <w:t>)</w:t>
      </w:r>
      <w:r>
        <w:t xml:space="preserve">, since we suspect this parameter may account for differences in results between our two subjects. </w:t>
      </w:r>
    </w:p>
    <w:p w14:paraId="0000002A" w14:textId="77777777" w:rsidR="003347EA" w:rsidRDefault="003347EA"/>
    <w:p w14:paraId="0000002B" w14:textId="77777777" w:rsidR="003347EA" w:rsidRDefault="00000000">
      <w:r>
        <w:t>Ideal observer analysis</w:t>
      </w:r>
    </w:p>
    <w:p w14:paraId="0000002C" w14:textId="77777777" w:rsidR="003347EA" w:rsidRDefault="003347EA"/>
    <w:p w14:paraId="0000002D" w14:textId="1799257F" w:rsidR="003347EA" w:rsidRDefault="00000000">
      <w:r>
        <w:t xml:space="preserve">We conducted an ideal observer analysis to assess how well our results agree with optimal usage of information available at the level of cone </w:t>
      </w:r>
      <w:proofErr w:type="spellStart"/>
      <w:r>
        <w:t>photoisomerizations</w:t>
      </w:r>
      <w:proofErr w:type="spellEnd"/>
      <w:r>
        <w:t xml:space="preserve">. Our implementation of this analysis follows that </w:t>
      </w:r>
      <w:r w:rsidRPr="00716C0B">
        <w:rPr>
          <w:highlight w:val="yellow"/>
        </w:rPr>
        <w:t>of Geisler et al</w:t>
      </w:r>
      <w:r w:rsidR="00716C0B" w:rsidRPr="00716C0B">
        <w:rPr>
          <w:highlight w:val="yellow"/>
        </w:rPr>
        <w:t xml:space="preserve"> (1984)</w:t>
      </w:r>
      <w:r w:rsidRPr="00716C0B">
        <w:rPr>
          <w:highlight w:val="yellow"/>
        </w:rPr>
        <w:t>.</w:t>
      </w:r>
      <w:r>
        <w:t xml:space="preserve"> and incorporates the advantages of adaptive optics. That is, instead of ideal observers with simulated cone lattices and </w:t>
      </w:r>
      <w:proofErr w:type="gramStart"/>
      <w:r>
        <w:t>theoretically-based</w:t>
      </w:r>
      <w:proofErr w:type="gramEnd"/>
      <w:r>
        <w:t xml:space="preserve"> optics, we created ideal observers that possess our </w:t>
      </w:r>
      <w:proofErr w:type="spellStart"/>
      <w:r>
        <w:t>subjects’s</w:t>
      </w:r>
      <w:proofErr w:type="spellEnd"/>
      <w:r>
        <w:t xml:space="preserve"> cone mosaics and the near-diffraction limited optics afforded by AOSLO. If the ideal observer results predict our data better than the simple non-opponent model given in equation 1, this implies the </w:t>
      </w:r>
      <w:proofErr w:type="gramStart"/>
      <w:r>
        <w:t>particular arrangement</w:t>
      </w:r>
      <w:proofErr w:type="gramEnd"/>
      <w:r>
        <w:t xml:space="preserve"> of cones in the retina, as well as blur due to diffraction, influences sensitivity to small spots. The ideal observer’s task was to distinguish the stimulus and background from the background alone. The background was specified to be identical, in terms of size and spectral power </w:t>
      </w:r>
      <w:r>
        <w:lastRenderedPageBreak/>
        <w:t>distribution, to the one used in the real experiment. The stimuli presented to the ideal observer differed from the real stimuli only in that they were perfectly monochromatic, rather than narrowband, and displayed continuously rather than raster scanned. For each targeted location within each subject’s eye, we determined the stimulus intensity that yielded a d’ of 1.36, where d’ is given by:</w:t>
      </w:r>
    </w:p>
    <w:p w14:paraId="0000002E" w14:textId="77777777" w:rsidR="003347EA" w:rsidRDefault="00000000">
      <w:r>
        <w:t>XXX</w:t>
      </w:r>
    </w:p>
    <w:p w14:paraId="0000002F" w14:textId="77777777" w:rsidR="003347EA" w:rsidRDefault="003347EA"/>
    <w:p w14:paraId="00000030" w14:textId="77777777" w:rsidR="003347EA" w:rsidRDefault="00000000">
      <w:r>
        <w:t xml:space="preserve">This formula assumes that the ideal observer is limited by Poisson noise arising from the quantal nature of light. Thus, the 543 nm intensity required to achieve the desired d’, divided by the corresponding 680 nm intensity, is the ideal observer’s red/green sensitivity ratio. </w:t>
      </w:r>
    </w:p>
    <w:p w14:paraId="00000031" w14:textId="77777777" w:rsidR="003347EA" w:rsidRDefault="003347EA"/>
    <w:p w14:paraId="00000032" w14:textId="77777777" w:rsidR="003347EA" w:rsidRDefault="003347EA"/>
    <w:p w14:paraId="00000033" w14:textId="77777777" w:rsidR="003347EA" w:rsidRDefault="00000000">
      <w:r>
        <w:t>RESULTS</w:t>
      </w:r>
    </w:p>
    <w:p w14:paraId="00000034" w14:textId="77777777" w:rsidR="003347EA" w:rsidRDefault="003347EA"/>
    <w:p w14:paraId="00000035" w14:textId="639CC1EF" w:rsidR="003347EA" w:rsidRDefault="00000000">
      <w:r>
        <w:t xml:space="preserve">Red/green sensitivity ratio increases with </w:t>
      </w:r>
      <w:r w:rsidR="007871AA">
        <w:t>L/M</w:t>
      </w:r>
      <w:r>
        <w:t xml:space="preserve"> ratio</w:t>
      </w:r>
    </w:p>
    <w:p w14:paraId="00000036" w14:textId="77777777" w:rsidR="003347EA" w:rsidRDefault="003347EA"/>
    <w:p w14:paraId="00000037" w14:textId="6249BE29" w:rsidR="003347EA" w:rsidRDefault="00000000">
      <w:pPr>
        <w:ind w:firstLine="720"/>
      </w:pPr>
      <w:r>
        <w:t xml:space="preserve">The ratio of red (680 nm) sensitivity to green (543 nm) sensitivity increases with </w:t>
      </w:r>
      <w:r w:rsidR="007871AA">
        <w:t>L/M</w:t>
      </w:r>
      <w:r>
        <w:t xml:space="preserve"> ratio, as shown in Figure XXX. This trend holds for both subjects, whose data are plotted along with the predicted red/green sensitivity function computed from Equation XXX for different L-cone spectra (with </w:t>
      </w:r>
      <w:proofErr w:type="spellStart"/>
      <w:r>
        <w:t>λ</w:t>
      </w:r>
      <w:r>
        <w:rPr>
          <w:vertAlign w:val="subscript"/>
        </w:rPr>
        <w:t>max</w:t>
      </w:r>
      <w:proofErr w:type="spellEnd"/>
      <w:r>
        <w:t xml:space="preserve"> = 55</w:t>
      </w:r>
      <w:r w:rsidR="0020389B">
        <w:t xml:space="preserve">8.9 </w:t>
      </w:r>
      <w:r>
        <w:t xml:space="preserve">nm and </w:t>
      </w:r>
      <w:proofErr w:type="spellStart"/>
      <w:r>
        <w:t>λ</w:t>
      </w:r>
      <w:r>
        <w:rPr>
          <w:vertAlign w:val="subscript"/>
        </w:rPr>
        <w:t>max</w:t>
      </w:r>
      <w:proofErr w:type="spellEnd"/>
      <w:r>
        <w:t xml:space="preserve"> = 563</w:t>
      </w:r>
      <w:r w:rsidR="0020389B">
        <w:t>.4</w:t>
      </w:r>
      <w:r>
        <w:t xml:space="preserve"> nm). In this plot, empirical sensitivity is the reciprocal number of 543 nm or 680 nm quanta incident at the cornea required to achieve a 50% frequency of seeing. The positive correlation between relative sensitivity to red flashes and L-cone numerosity holds for both subjects (Spearman’s correlation: XXX). It is notable that data from subject 10001R generally fall above data from subject 20217R, indicating that the former subject is more sensitive to red stimuli (or less sensitive to green stimuli) than the latter, all else being equal. As discussed in later sections, this intersubject variability may reflect differences in L-cone photopigments. Subject 10001R’s data align best with predictions that assume L-cone sensitivity peaks at 563</w:t>
      </w:r>
      <w:r w:rsidR="0020389B">
        <w:t>.4</w:t>
      </w:r>
      <w:r>
        <w:t xml:space="preserve"> nm, while an assumption of peak sensitivity at 55</w:t>
      </w:r>
      <w:r w:rsidR="0020389B">
        <w:t>8.9</w:t>
      </w:r>
      <w:r>
        <w:t xml:space="preserve"> nm brings predictions into alignment with subject 20217R’s data. There is variability in thresholds measured for patches of retina with similar proportions of L-cones, and hence the relationship between the red/green sensitivity ratio and the </w:t>
      </w:r>
      <w:r w:rsidR="007871AA">
        <w:t>L/M</w:t>
      </w:r>
      <w:r>
        <w:t xml:space="preserve"> ratio is not perfectly monotonic.</w:t>
      </w:r>
    </w:p>
    <w:p w14:paraId="00000038" w14:textId="77777777" w:rsidR="003347EA" w:rsidRDefault="003347EA">
      <w:pPr>
        <w:ind w:firstLine="720"/>
      </w:pPr>
    </w:p>
    <w:p w14:paraId="00000039" w14:textId="77777777" w:rsidR="003347EA" w:rsidRDefault="00000000">
      <w:r>
        <w:t>Small spot spectral sensitivity is well-predicted by the sum of cone signals</w:t>
      </w:r>
    </w:p>
    <w:p w14:paraId="0000003A" w14:textId="77777777" w:rsidR="003347EA" w:rsidRDefault="003347EA"/>
    <w:p w14:paraId="0000003B" w14:textId="77777777" w:rsidR="003347EA" w:rsidRDefault="00000000">
      <w:r>
        <w:t xml:space="preserve">The red/green sensitivity ratios predicted by the additive model are plotted against the experimentally observed ratios ([describe markers]) in Figure XXX for subject 10001R, and in Figure XXX for subject 20217R. Theoretical data were generated using the L-cone </w:t>
      </w:r>
      <w:proofErr w:type="spellStart"/>
      <w:r>
        <w:t>λ</w:t>
      </w:r>
      <w:r>
        <w:rPr>
          <w:vertAlign w:val="subscript"/>
        </w:rPr>
        <w:t>max</w:t>
      </w:r>
      <w:proofErr w:type="spellEnd"/>
      <w:r>
        <w:t xml:space="preserve"> (of the predefined set of </w:t>
      </w:r>
      <w:proofErr w:type="gramStart"/>
      <w:r>
        <w:t>biologically-plausible</w:t>
      </w:r>
      <w:proofErr w:type="gramEnd"/>
      <w:r>
        <w:t xml:space="preserve"> </w:t>
      </w:r>
      <w:proofErr w:type="spellStart"/>
      <w:r>
        <w:t>λ</w:t>
      </w:r>
      <w:r>
        <w:rPr>
          <w:vertAlign w:val="subscript"/>
        </w:rPr>
        <w:t>max</w:t>
      </w:r>
      <w:proofErr w:type="spellEnd"/>
      <w:r>
        <w:t xml:space="preserve">) which minimized the residuals between the model predictions and the subject’s data. The residuals between the empirical and model data shown in the first panel are plotted in the middle panel. Root mean square error (RMSE) as a function of </w:t>
      </w:r>
      <w:proofErr w:type="spellStart"/>
      <w:r>
        <w:t>λ</w:t>
      </w:r>
      <w:proofErr w:type="gramStart"/>
      <w:r>
        <w:rPr>
          <w:vertAlign w:val="subscript"/>
        </w:rPr>
        <w:t>max</w:t>
      </w:r>
      <w:proofErr w:type="spellEnd"/>
      <w:r>
        <w:rPr>
          <w:vertAlign w:val="superscript"/>
        </w:rPr>
        <w:t xml:space="preserve"> </w:t>
      </w:r>
      <w:r>
        <w:t xml:space="preserve"> is</w:t>
      </w:r>
      <w:proofErr w:type="gramEnd"/>
      <w:r>
        <w:t xml:space="preserve"> shown in XXX. A </w:t>
      </w:r>
      <w:proofErr w:type="spellStart"/>
      <w:r>
        <w:t>λ</w:t>
      </w:r>
      <w:r>
        <w:rPr>
          <w:vertAlign w:val="subscript"/>
        </w:rPr>
        <w:t>max</w:t>
      </w:r>
      <w:proofErr w:type="spellEnd"/>
      <w:r>
        <w:t xml:space="preserve"> greater than 563.4 nm would be required to minimize the RMSE for subject 10001R.</w:t>
      </w:r>
    </w:p>
    <w:p w14:paraId="0000003C" w14:textId="77777777" w:rsidR="003347EA" w:rsidRDefault="003347EA"/>
    <w:p w14:paraId="0000003D" w14:textId="77777777" w:rsidR="003347EA" w:rsidRDefault="00000000">
      <w:r>
        <w:t>Ideal observer analysis</w:t>
      </w:r>
    </w:p>
    <w:p w14:paraId="0000003E" w14:textId="77777777" w:rsidR="003347EA" w:rsidRDefault="003347EA"/>
    <w:p w14:paraId="0000003F" w14:textId="77777777" w:rsidR="003347EA" w:rsidRDefault="00000000">
      <w:r>
        <w:t xml:space="preserve">The red/green sensitivity ratios for an ideal observer whose cone mosaic is identical that of subject 10001R is compared with the empirical ratios in Figure XXX. The same comparison is made for subject 20217R in Figure XXX. In both cases, the ideal observer’s L-cone </w:t>
      </w:r>
      <w:proofErr w:type="spellStart"/>
      <w:r>
        <w:t>λ</w:t>
      </w:r>
      <w:r>
        <w:rPr>
          <w:vertAlign w:val="subscript"/>
        </w:rPr>
        <w:t>max</w:t>
      </w:r>
      <w:proofErr w:type="spellEnd"/>
      <w:r>
        <w:t xml:space="preserve"> was that which made the theoretical predictions come closest to the real data. As with the additive model results, the residuals and RMSE are shown in the middle and right panels, respectively.   </w:t>
      </w:r>
    </w:p>
    <w:p w14:paraId="00000040" w14:textId="77777777" w:rsidR="003347EA" w:rsidRDefault="003347EA"/>
    <w:p w14:paraId="00000041" w14:textId="77777777" w:rsidR="003347EA" w:rsidRDefault="00000000">
      <w:r>
        <w:t>DISCUSSION</w:t>
      </w:r>
    </w:p>
    <w:p w14:paraId="00000042" w14:textId="77777777" w:rsidR="003347EA" w:rsidRDefault="003347EA"/>
    <w:p w14:paraId="528C40D7" w14:textId="11DE47E0" w:rsidR="007871AA" w:rsidRDefault="007871AA">
      <w:r>
        <w:t>-680/543 nm sensitivity increases with L/M ratio</w:t>
      </w:r>
    </w:p>
    <w:p w14:paraId="75E21A65" w14:textId="0411DC99" w:rsidR="007871AA" w:rsidRDefault="007871AA">
      <w:r>
        <w:tab/>
        <w:t>-</w:t>
      </w:r>
    </w:p>
    <w:sectPr w:rsidR="007871A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7EA"/>
    <w:rsid w:val="00035E29"/>
    <w:rsid w:val="00051292"/>
    <w:rsid w:val="00140038"/>
    <w:rsid w:val="00161B7A"/>
    <w:rsid w:val="0020389B"/>
    <w:rsid w:val="00283F10"/>
    <w:rsid w:val="0028512C"/>
    <w:rsid w:val="003347EA"/>
    <w:rsid w:val="00336EC3"/>
    <w:rsid w:val="00384A34"/>
    <w:rsid w:val="004C2D02"/>
    <w:rsid w:val="004E516A"/>
    <w:rsid w:val="0055142D"/>
    <w:rsid w:val="005B731E"/>
    <w:rsid w:val="005D0FBB"/>
    <w:rsid w:val="00716C0B"/>
    <w:rsid w:val="00775279"/>
    <w:rsid w:val="007871AA"/>
    <w:rsid w:val="00A50DA4"/>
    <w:rsid w:val="00B1585E"/>
    <w:rsid w:val="00B4372E"/>
    <w:rsid w:val="00C374FA"/>
    <w:rsid w:val="00C401FA"/>
    <w:rsid w:val="00CC79EE"/>
    <w:rsid w:val="00CE5A06"/>
    <w:rsid w:val="00E71CAA"/>
    <w:rsid w:val="00F22CBB"/>
    <w:rsid w:val="00F44745"/>
    <w:rsid w:val="00F83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FE1EC"/>
  <w15:docId w15:val="{0666BD64-C601-4AA0-BE0C-4B57A5805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A4CE6F-882F-473B-A0C0-B6976DFB3B06}">
  <we:reference id="wa104382081" version="1.55.1.0" store="en-US" storeType="OMEX"/>
  <we:alternateReferences>
    <we:reference id="wa104382081" version="1.55.1.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9FACC-9F36-4F6A-9187-06CA10FAC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2891</Words>
  <Characters>16480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TutenLab-NUC3</dc:creator>
  <cp:keywords/>
  <dc:description/>
  <cp:lastModifiedBy>Max Greene</cp:lastModifiedBy>
  <cp:revision>2</cp:revision>
  <dcterms:created xsi:type="dcterms:W3CDTF">2024-10-25T22:45:00Z</dcterms:created>
  <dcterms:modified xsi:type="dcterms:W3CDTF">2024-10-25T22:45:00Z</dcterms:modified>
</cp:coreProperties>
</file>