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Transformative Excellence</w:t>
      </w:r>
    </w:p>
    <w:p>
      <w:r>
        <w:t>It is important to note that the team utilizes weekly reviews.</w:t>
      </w:r>
    </w:p>
    <w:p>
      <w:pPr>
        <w:pStyle w:val="ListBullet"/>
      </w:pPr>
      <w:r>
        <w:t>Customer churn fell from 12% to 8% in Q2.</w:t>
      </w:r>
    </w:p>
    <w:p>
      <w:r>
        <w:rPr>
          <w:b/>
        </w:rPr>
        <w:t xml:space="preserve">Strategic </w:t>
      </w:r>
      <w:r>
        <w:t>alignment for future growth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Decision</w:t>
            </w:r>
          </w:p>
        </w:tc>
      </w:tr>
      <w:tr>
        <w:tc>
          <w:tcPr>
            <w:tcW w:type="dxa" w:w="4320"/>
          </w:tcPr>
          <w:p>
            <w:r>
              <w:t>Maria</w:t>
            </w:r>
          </w:p>
        </w:tc>
        <w:tc>
          <w:tcPr>
            <w:tcW w:type="dxa" w:w="4320"/>
          </w:tcPr>
          <w:p>
            <w:r>
              <w:t>Launch on 15 August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