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DIALIS CECILIA ROJAS PONTE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V-11.568.305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Gerente de 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09-ene-2012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41.006,25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01340277952771088999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1.366,88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23.236,88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10.935,00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4.100,62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2.733,75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20.503,12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1.892,60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501,19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236,57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41.006,25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23.133,48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DIALIS CECILIA ROJAS PONTE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17.872,77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V-11.568.305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